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auto" w:val="clear"/>
        </w:rPr>
        <w:t xml:space="preserve">Дистанционный рейтинг саморегулируемых организаций            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по версии Федерального рейтингового агентства строительного комплекса РАСК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www.rask.ru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976" w:dyaOrig="1194">
          <v:rect xmlns:o="urn:schemas-microsoft-com:office:office" xmlns:v="urn:schemas-microsoft-com:vml" id="rectole0000000000" style="width:148.800000pt;height:59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Рейтинговое агентство строительного комплекса РАСК обеспечивает построение рейтингов и их прогнозов, реализуя функцию независимого контроля c применением результатов рейтингового оценивания степень возможных рисков при заключении договорных отношений с организациями строительной отрасли сегодня может быть экспертно определена и учтена контрагентами. А сами представители отрасли смогут на ранних стадиях отслеживать возникающие в функционировании проблемы и своевременно начинать работу по их устранению.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404"/>
        <w:gridCol w:w="1020"/>
        <w:gridCol w:w="1978"/>
        <w:gridCol w:w="1659"/>
        <w:gridCol w:w="2297"/>
      </w:tblGrid>
      <w:tr>
        <w:trPr>
          <w:trHeight w:val="1" w:hRule="atLeast"/>
          <w:jc w:val="left"/>
        </w:trPr>
        <w:tc>
          <w:tcPr>
            <w:tcW w:w="24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</w:t>
            </w:r>
          </w:p>
        </w:tc>
        <w:tc>
          <w:tcPr>
            <w:tcW w:w="10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СРО</w:t>
            </w:r>
          </w:p>
        </w:tc>
        <w:tc>
          <w:tcPr>
            <w:tcW w:w="1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</w:tc>
        <w:tc>
          <w:tcPr>
            <w:tcW w:w="1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присвоения</w:t>
            </w:r>
          </w:p>
        </w:tc>
        <w:tc>
          <w:tcPr>
            <w:tcW w:w="22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Дистанционный рейтинг</w:t>
            </w:r>
          </w:p>
        </w:tc>
      </w:tr>
      <w:tr>
        <w:trPr>
          <w:trHeight w:val="1" w:hRule="atLeast"/>
          <w:jc w:val="left"/>
        </w:trPr>
        <w:tc>
          <w:tcPr>
            <w:tcW w:w="24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Ассоциация РООР СРОСБР</w:t>
            </w:r>
          </w:p>
        </w:tc>
        <w:tc>
          <w:tcPr>
            <w:tcW w:w="10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С-022</w:t>
            </w:r>
          </w:p>
        </w:tc>
        <w:tc>
          <w:tcPr>
            <w:tcW w:w="1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Иркутская область </w:t>
            </w:r>
          </w:p>
        </w:tc>
        <w:tc>
          <w:tcPr>
            <w:tcW w:w="1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08.06.2016 </w:t>
            </w:r>
          </w:p>
        </w:tc>
        <w:tc>
          <w:tcPr>
            <w:tcW w:w="22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495" w:dyaOrig="1498">
                <v:rect xmlns:o="urn:schemas-microsoft-com:office:office" xmlns:v="urn:schemas-microsoft-com:vml" id="rectole0000000001" style="width:224.750000pt;height:74.9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29" w:dyaOrig="729">
                <v:rect xmlns:o="urn:schemas-microsoft-com:office:office" xmlns:v="urn:schemas-microsoft-com:vml" id="rectole0000000002" style="width:36.450000pt;height:36.45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Шкала оценки надежности СРО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Дистанционный рейтинг СРО(в области инженерных изысканий, архитектурно-строительного проектирования, строительства):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класс СРО с высокой надежностью.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Партнерство характеризуется высоким уровнем ответственности СРО за свою деятельность и деятельность своих членов. Вероятность лишения статуса СРО низкая.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класс СРО с удовлетворительной надежностью.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Партнерство характеризуется высоким уровнем ответственности СРО за свою деятельность и деятельность своих членов. Вероятность лишения статуса СРО средняя 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» — 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класс СРО с низкой надежностью.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Саморегулируемые организации данного класса характеризуются наличием набора компаний, показывающих в совокупности низкий уровень конкурентоспособности, либо высокую долю информационной закрытости. Вероятность лишения статуса СРО высока.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 находится в стадии ликвидации.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НР</w:t>
            </w:r>
            <w:r>
              <w:rPr>
                <w:rFonts w:ascii="Times New Roman" w:hAnsi="Times New Roman" w:cs="Times New Roman" w:eastAsia="Times New Roman"/>
                <w:b/>
                <w:color w:val="00008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Рейтинг не присваивался в силу ограниченного объема информации о СРО.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исследований РАСК выявляет и описывает все изменения, которые происходят в конкретной СРО с течением времени – как меняется ее количественный и качественный состав. Из открытых источников собирается подробная информация по каждой компании, входящей в СРО: регистрационные данные, финансовая информация, в каких СРО она состоит, когда и откуда переходила. Следует отметить, что РАСК собирает информацию только по юридическим лицам и индивидуальных предпринимателей в своих исследованиях не учитывает.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имеющейся информационной базы и накопленного опыта РАСК была разработана модель по рейтингованию СРО. Аналитические данные детально показывают изменения, происходившие в структуре реестров строительных СРО за минувшие шесть месяцев, в период с декабря 2015 года по май 2016. Рейтинговая шкала СРО и ее классы представляют собой упорядоченное множество, градации которого имеют буквенно-цифровое обозначение и варьируются от Б1 (наилучшая возможная оценка) до Г3 (наихудшая возможная оценка). В рамках оценки по данной модели для каждой СРО были рассчитаны, например, такие показатели как: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членов организации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доли компаний, потерявших допуск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доли компаний, впервые получивших допуск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Информационная открытость членов СРО (доля информационно-закрытых членов)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Средний дистанционный рейтинг членов СРО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Волатильность реестра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Динамика числа членов партнерства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 компаний в регионе присутствия СРО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 компаний в федеральном округе присутствия СРО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numbering.xml" Id="docRId7" Type="http://schemas.openxmlformats.org/officeDocument/2006/relationships/numbering"/><Relationship TargetMode="External" Target="http://www.rask.ru/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="styles.xml" Id="docRId8" Type="http://schemas.openxmlformats.org/officeDocument/2006/relationships/styles"/><Relationship Target="embeddings/oleObject0.bin" Id="docRId1" Type="http://schemas.openxmlformats.org/officeDocument/2006/relationships/oleObject"/><Relationship Target="embeddings/oleObject2.bin" Id="docRId5" Type="http://schemas.openxmlformats.org/officeDocument/2006/relationships/oleObject"/></Relationships>
</file>