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946" w:rsidRPr="00DC7B35" w:rsidRDefault="0059518C" w:rsidP="00DC7B3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>О Т Ч Е Т</w:t>
      </w:r>
    </w:p>
    <w:p w:rsidR="0059518C" w:rsidRPr="00DC7B35" w:rsidRDefault="0059518C" w:rsidP="00DC7B3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7B35">
        <w:rPr>
          <w:rFonts w:ascii="Times New Roman" w:hAnsi="Times New Roman" w:cs="Times New Roman"/>
          <w:sz w:val="24"/>
          <w:szCs w:val="24"/>
        </w:rPr>
        <w:t xml:space="preserve">Генерального  </w:t>
      </w:r>
      <w:r w:rsidR="008A5CAC" w:rsidRPr="00DC7B35">
        <w:rPr>
          <w:rFonts w:ascii="Times New Roman" w:hAnsi="Times New Roman" w:cs="Times New Roman"/>
          <w:sz w:val="24"/>
          <w:szCs w:val="24"/>
        </w:rPr>
        <w:t>директора</w:t>
      </w:r>
      <w:proofErr w:type="gramEnd"/>
      <w:r w:rsidR="008A5CAC" w:rsidRPr="00DC7B35">
        <w:rPr>
          <w:rFonts w:ascii="Times New Roman" w:hAnsi="Times New Roman" w:cs="Times New Roman"/>
          <w:sz w:val="24"/>
          <w:szCs w:val="24"/>
        </w:rPr>
        <w:t xml:space="preserve">  на общем собрании 201</w:t>
      </w:r>
      <w:r w:rsidRPr="00DC7B35">
        <w:rPr>
          <w:rFonts w:ascii="Times New Roman" w:hAnsi="Times New Roman" w:cs="Times New Roman"/>
          <w:sz w:val="24"/>
          <w:szCs w:val="24"/>
        </w:rPr>
        <w:t>9 года.</w:t>
      </w:r>
    </w:p>
    <w:p w:rsidR="008A5CAC" w:rsidRPr="00DC7B35" w:rsidRDefault="008A5CAC" w:rsidP="00DC7B3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A5CAC" w:rsidRPr="00DC7B35" w:rsidRDefault="008A5CAC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B35">
        <w:rPr>
          <w:rFonts w:ascii="Times New Roman" w:hAnsi="Times New Roman" w:cs="Times New Roman"/>
          <w:sz w:val="24"/>
          <w:szCs w:val="24"/>
        </w:rPr>
        <w:t>Деятельность  исполнительной</w:t>
      </w:r>
      <w:proofErr w:type="gramEnd"/>
      <w:r w:rsidRPr="00DC7B35">
        <w:rPr>
          <w:rFonts w:ascii="Times New Roman" w:hAnsi="Times New Roman" w:cs="Times New Roman"/>
          <w:sz w:val="24"/>
          <w:szCs w:val="24"/>
        </w:rPr>
        <w:t xml:space="preserve">  дирекции за  период с  </w:t>
      </w:r>
      <w:r w:rsidR="000B0CAE" w:rsidRPr="00DC7B35">
        <w:rPr>
          <w:rFonts w:ascii="Times New Roman" w:hAnsi="Times New Roman" w:cs="Times New Roman"/>
          <w:sz w:val="24"/>
          <w:szCs w:val="24"/>
        </w:rPr>
        <w:t xml:space="preserve">19.04.2019 </w:t>
      </w:r>
      <w:r w:rsidRPr="00DC7B35">
        <w:rPr>
          <w:rFonts w:ascii="Times New Roman" w:hAnsi="Times New Roman" w:cs="Times New Roman"/>
          <w:sz w:val="24"/>
          <w:szCs w:val="24"/>
        </w:rPr>
        <w:t>по</w:t>
      </w:r>
      <w:r w:rsidR="000B0CAE" w:rsidRPr="00DC7B35">
        <w:rPr>
          <w:rFonts w:ascii="Times New Roman" w:hAnsi="Times New Roman" w:cs="Times New Roman"/>
          <w:sz w:val="24"/>
          <w:szCs w:val="24"/>
        </w:rPr>
        <w:t xml:space="preserve">  25.04.2019</w:t>
      </w:r>
      <w:r w:rsidRPr="00DC7B35">
        <w:rPr>
          <w:rFonts w:ascii="Times New Roman" w:hAnsi="Times New Roman" w:cs="Times New Roman"/>
          <w:sz w:val="24"/>
          <w:szCs w:val="24"/>
        </w:rPr>
        <w:t xml:space="preserve">  характеризуется  следующими показателями.</w:t>
      </w:r>
    </w:p>
    <w:p w:rsidR="001B1D33" w:rsidRPr="00DC7B35" w:rsidRDefault="001B1D33" w:rsidP="00DC7B3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7B35">
        <w:rPr>
          <w:rFonts w:ascii="Times New Roman" w:hAnsi="Times New Roman" w:cs="Times New Roman"/>
          <w:b/>
          <w:sz w:val="24"/>
          <w:szCs w:val="24"/>
          <w:u w:val="single"/>
        </w:rPr>
        <w:t>Членство в Ассоциации РООР СРОСБР:</w:t>
      </w:r>
    </w:p>
    <w:p w:rsidR="001B1D33" w:rsidRPr="00DC7B35" w:rsidRDefault="001B1D33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D33" w:rsidRPr="00DC7B35" w:rsidRDefault="001B1D33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>По состоянию на 01 января 2019 года в составе Ассоциации РООР СРОСБР насчитывалось 297 организаций, ровно столько же, сколько на январь 2018 года (на 01 января 2017 – на 10 меньше: 287). На день проведения общего собрания число организаций не изменилось.</w:t>
      </w:r>
    </w:p>
    <w:p w:rsidR="001B1D33" w:rsidRPr="00DC7B35" w:rsidRDefault="001B1D33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D33" w:rsidRPr="00DC7B35" w:rsidRDefault="001B1D33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>С 9 января по 29 декабря 2018 года в Ассоциацию РООР СРОСБР вступило 95 организаций (в 2017 году – 95). В том числе переходом из других СРО – 44.</w:t>
      </w:r>
    </w:p>
    <w:p w:rsidR="001B1D33" w:rsidRPr="00DC7B35" w:rsidRDefault="001B1D33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D33" w:rsidRPr="00DC7B35" w:rsidRDefault="001B1D33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 xml:space="preserve">Исключено 50 предприятий, в том числе в связи с добровольным выходом – 20, в связи с переходом в другую СРО – 12. В связи с нарушением требований СРО исключены по решению общего собрания членов Ассоциации – 14 организаций, по решению Правления Ассоциации – 4 организации, не выразившие намерения в установленный частью 5 статьи 3.3 </w:t>
      </w:r>
      <w:proofErr w:type="spellStart"/>
      <w:r w:rsidRPr="00DC7B35">
        <w:rPr>
          <w:rFonts w:ascii="Times New Roman" w:hAnsi="Times New Roman" w:cs="Times New Roman"/>
          <w:sz w:val="24"/>
          <w:szCs w:val="24"/>
        </w:rPr>
        <w:t>Градкодекса</w:t>
      </w:r>
      <w:proofErr w:type="spellEnd"/>
      <w:r w:rsidRPr="00DC7B35">
        <w:rPr>
          <w:rFonts w:ascii="Times New Roman" w:hAnsi="Times New Roman" w:cs="Times New Roman"/>
          <w:sz w:val="24"/>
          <w:szCs w:val="24"/>
        </w:rPr>
        <w:t xml:space="preserve"> РФ срок принимать участие в заключении договоров строительного подряда с использованием конкурентных способов заключения договоров.</w:t>
      </w:r>
    </w:p>
    <w:p w:rsidR="001B1D33" w:rsidRPr="00DC7B35" w:rsidRDefault="001B1D33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20"/>
      </w:tblGrid>
      <w:tr w:rsidR="001B1D33" w:rsidRPr="00DC7B35" w:rsidTr="00DC7B35">
        <w:trPr>
          <w:trHeight w:val="33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BF1DE"/>
            <w:noWrap/>
            <w:vAlign w:val="center"/>
            <w:hideMark/>
          </w:tcPr>
          <w:p w:rsidR="001B1D33" w:rsidRPr="00DC7B35" w:rsidRDefault="001B1D33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ДИНАМИКА ЧИСЛЕННОСТИ ЧЛЕНОВ СРО ПО ДАННЫМ НА НАЧАЛО ГОДА</w:t>
            </w:r>
          </w:p>
        </w:tc>
      </w:tr>
      <w:tr w:rsidR="001B1D33" w:rsidRPr="00DC7B35" w:rsidTr="00DC7B35">
        <w:trPr>
          <w:trHeight w:val="315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:rsidR="001B1D33" w:rsidRPr="00DC7B35" w:rsidRDefault="001B1D33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</w:t>
            </w:r>
          </w:p>
          <w:p w:rsidR="001B1D33" w:rsidRPr="00DC7B35" w:rsidRDefault="001B1D33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:rsidR="001B1D33" w:rsidRPr="00DC7B35" w:rsidRDefault="001B1D33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</w:t>
            </w:r>
          </w:p>
          <w:p w:rsidR="001B1D33" w:rsidRPr="00DC7B35" w:rsidRDefault="001B1D33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:rsidR="001B1D33" w:rsidRPr="00DC7B35" w:rsidRDefault="001B1D33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</w:t>
            </w:r>
          </w:p>
          <w:p w:rsidR="001B1D33" w:rsidRPr="00DC7B35" w:rsidRDefault="001B1D33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:rsidR="001B1D33" w:rsidRPr="00DC7B35" w:rsidRDefault="001B1D33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</w:t>
            </w:r>
          </w:p>
          <w:p w:rsidR="001B1D33" w:rsidRPr="00DC7B35" w:rsidRDefault="001B1D33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:rsidR="001B1D33" w:rsidRPr="00DC7B35" w:rsidRDefault="001B1D33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</w:t>
            </w:r>
          </w:p>
          <w:p w:rsidR="001B1D33" w:rsidRPr="00DC7B35" w:rsidRDefault="001B1D33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:rsidR="001B1D33" w:rsidRPr="00DC7B35" w:rsidRDefault="001B1D33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</w:t>
            </w:r>
          </w:p>
          <w:p w:rsidR="001B1D33" w:rsidRPr="00DC7B35" w:rsidRDefault="001B1D33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:rsidR="001B1D33" w:rsidRPr="00DC7B35" w:rsidRDefault="001B1D33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</w:t>
            </w:r>
          </w:p>
          <w:p w:rsidR="001B1D33" w:rsidRPr="00DC7B35" w:rsidRDefault="001B1D33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:rsidR="001B1D33" w:rsidRPr="00DC7B35" w:rsidRDefault="001B1D33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</w:t>
            </w:r>
          </w:p>
          <w:p w:rsidR="001B1D33" w:rsidRPr="00DC7B35" w:rsidRDefault="001B1D33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:rsidR="001B1D33" w:rsidRPr="00DC7B35" w:rsidRDefault="001B1D33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</w:t>
            </w:r>
          </w:p>
          <w:p w:rsidR="001B1D33" w:rsidRPr="00DC7B35" w:rsidRDefault="001B1D33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:rsidR="001B1D33" w:rsidRPr="00DC7B35" w:rsidRDefault="001B1D33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</w:t>
            </w:r>
          </w:p>
          <w:p w:rsidR="001B1D33" w:rsidRPr="00DC7B35" w:rsidRDefault="001B1D33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1B1D33" w:rsidRPr="00DC7B35" w:rsidTr="00DC7B35">
        <w:trPr>
          <w:trHeight w:val="330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:rsidR="001B1D33" w:rsidRPr="00DC7B35" w:rsidRDefault="001B1D33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:rsidR="001B1D33" w:rsidRPr="00DC7B35" w:rsidRDefault="001B1D33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:rsidR="001B1D33" w:rsidRPr="00DC7B35" w:rsidRDefault="001B1D33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404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:rsidR="001B1D33" w:rsidRPr="00DC7B35" w:rsidRDefault="001B1D33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:rsidR="001B1D33" w:rsidRPr="00DC7B35" w:rsidRDefault="001B1D33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:rsidR="001B1D33" w:rsidRPr="00DC7B35" w:rsidRDefault="001B1D33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:rsidR="001B1D33" w:rsidRPr="00DC7B35" w:rsidRDefault="001B1D33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:rsidR="001B1D33" w:rsidRPr="00DC7B35" w:rsidRDefault="001B1D33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:rsidR="001B1D33" w:rsidRPr="00DC7B35" w:rsidRDefault="001B1D33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:rsidR="001B1D33" w:rsidRPr="00DC7B35" w:rsidRDefault="001B1D33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297</w:t>
            </w:r>
          </w:p>
        </w:tc>
      </w:tr>
    </w:tbl>
    <w:p w:rsidR="001B1D33" w:rsidRPr="00DC7B35" w:rsidRDefault="001B1D33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D33" w:rsidRPr="00DC7B35" w:rsidRDefault="001B1D33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>Из 297 членов ассоциации:</w:t>
      </w:r>
    </w:p>
    <w:p w:rsidR="001B1D33" w:rsidRPr="00DC7B35" w:rsidRDefault="001B1D33" w:rsidP="00DC7B3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 xml:space="preserve">2 индивидуальных предпринимателя; </w:t>
      </w:r>
    </w:p>
    <w:p w:rsidR="001B1D33" w:rsidRPr="00DC7B35" w:rsidRDefault="001B1D33" w:rsidP="00DC7B3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 xml:space="preserve">6 муниципальных предприятий и учреждений; </w:t>
      </w:r>
    </w:p>
    <w:p w:rsidR="001B1D33" w:rsidRPr="00DC7B35" w:rsidRDefault="001B1D33" w:rsidP="00DC7B3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 xml:space="preserve">1 областное государственное предприятие; </w:t>
      </w:r>
    </w:p>
    <w:p w:rsidR="001B1D33" w:rsidRPr="00DC7B35" w:rsidRDefault="001B1D33" w:rsidP="00DC7B3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 xml:space="preserve">1 федеральное государственное бюджетное образовательное учреждение; </w:t>
      </w:r>
    </w:p>
    <w:p w:rsidR="001B1D33" w:rsidRPr="00DC7B35" w:rsidRDefault="001B1D33" w:rsidP="00DC7B3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 xml:space="preserve">46 акционерных обществ разного вида; </w:t>
      </w:r>
    </w:p>
    <w:p w:rsidR="001B1D33" w:rsidRPr="00DC7B35" w:rsidRDefault="001B1D33" w:rsidP="00DC7B3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>241 организация – это общества с ограниченной ответственностью.</w:t>
      </w:r>
    </w:p>
    <w:p w:rsidR="001B1D33" w:rsidRPr="00DC7B35" w:rsidRDefault="001B1D33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D33" w:rsidRPr="00DC7B35" w:rsidRDefault="001B1D33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>Из 297 членов ассоциации 120 имеют право выполнять работы на особо опасных, технически сложных и уникальных объектах (в предыдущий отчетный период – 132).</w:t>
      </w:r>
    </w:p>
    <w:p w:rsidR="001B1D33" w:rsidRPr="00DC7B35" w:rsidRDefault="001B1D33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D33" w:rsidRPr="00DC7B35" w:rsidRDefault="001B1D33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b/>
          <w:sz w:val="24"/>
          <w:szCs w:val="24"/>
        </w:rPr>
        <w:t>5</w:t>
      </w:r>
      <w:r w:rsidRPr="00DC7B35">
        <w:rPr>
          <w:rFonts w:ascii="Times New Roman" w:hAnsi="Times New Roman" w:cs="Times New Roman"/>
          <w:sz w:val="24"/>
          <w:szCs w:val="24"/>
        </w:rPr>
        <w:t xml:space="preserve"> организаций имеют право выполнять работы на объектах </w:t>
      </w:r>
      <w:r w:rsidRPr="00DC7B35">
        <w:rPr>
          <w:rFonts w:ascii="Times New Roman" w:hAnsi="Times New Roman" w:cs="Times New Roman"/>
          <w:b/>
          <w:sz w:val="24"/>
          <w:szCs w:val="24"/>
        </w:rPr>
        <w:t xml:space="preserve">использования атомной энергии, </w:t>
      </w:r>
      <w:r w:rsidRPr="00DC7B35">
        <w:rPr>
          <w:rFonts w:ascii="Times New Roman" w:hAnsi="Times New Roman" w:cs="Times New Roman"/>
          <w:sz w:val="24"/>
          <w:szCs w:val="24"/>
        </w:rPr>
        <w:t>три из Ангарска, две иркутские организации (в предыдущий отчетный период – 6):</w:t>
      </w:r>
    </w:p>
    <w:p w:rsidR="001B1D33" w:rsidRPr="00DC7B35" w:rsidRDefault="001B1D33" w:rsidP="00DC7B3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Pr="00DC7B35">
        <w:rPr>
          <w:rFonts w:ascii="Times New Roman" w:hAnsi="Times New Roman" w:cs="Times New Roman"/>
          <w:b/>
          <w:sz w:val="24"/>
          <w:szCs w:val="24"/>
        </w:rPr>
        <w:t>«Сервисный центр «Прогресс»</w:t>
      </w:r>
      <w:r w:rsidRPr="00DC7B35">
        <w:rPr>
          <w:rFonts w:ascii="Times New Roman" w:hAnsi="Times New Roman" w:cs="Times New Roman"/>
          <w:sz w:val="24"/>
          <w:szCs w:val="24"/>
        </w:rPr>
        <w:t>;</w:t>
      </w:r>
    </w:p>
    <w:p w:rsidR="001B1D33" w:rsidRPr="00DC7B35" w:rsidRDefault="001B1D33" w:rsidP="00DC7B3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Pr="00DC7B3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C7B35">
        <w:rPr>
          <w:rFonts w:ascii="Times New Roman" w:hAnsi="Times New Roman" w:cs="Times New Roman"/>
          <w:b/>
          <w:sz w:val="24"/>
          <w:szCs w:val="24"/>
        </w:rPr>
        <w:t>ВиТ</w:t>
      </w:r>
      <w:proofErr w:type="spellEnd"/>
      <w:r w:rsidRPr="00DC7B35">
        <w:rPr>
          <w:rFonts w:ascii="Times New Roman" w:hAnsi="Times New Roman" w:cs="Times New Roman"/>
          <w:b/>
          <w:sz w:val="24"/>
          <w:szCs w:val="24"/>
        </w:rPr>
        <w:t>»</w:t>
      </w:r>
      <w:r w:rsidRPr="00DC7B35">
        <w:rPr>
          <w:rFonts w:ascii="Times New Roman" w:hAnsi="Times New Roman" w:cs="Times New Roman"/>
          <w:sz w:val="24"/>
          <w:szCs w:val="24"/>
        </w:rPr>
        <w:t>;</w:t>
      </w:r>
    </w:p>
    <w:p w:rsidR="001B1D33" w:rsidRPr="00DC7B35" w:rsidRDefault="001B1D33" w:rsidP="00DC7B3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«Монтажно-строительное специализированное управление» (ООО </w:t>
      </w:r>
      <w:r w:rsidRPr="00DC7B35">
        <w:rPr>
          <w:rFonts w:ascii="Times New Roman" w:hAnsi="Times New Roman" w:cs="Times New Roman"/>
          <w:b/>
          <w:sz w:val="24"/>
          <w:szCs w:val="24"/>
        </w:rPr>
        <w:t>«МССУ»</w:t>
      </w:r>
      <w:r w:rsidRPr="00DC7B35">
        <w:rPr>
          <w:rFonts w:ascii="Times New Roman" w:hAnsi="Times New Roman" w:cs="Times New Roman"/>
          <w:sz w:val="24"/>
          <w:szCs w:val="24"/>
        </w:rPr>
        <w:t>)</w:t>
      </w:r>
    </w:p>
    <w:p w:rsidR="001B1D33" w:rsidRPr="00DC7B35" w:rsidRDefault="001B1D33" w:rsidP="00DC7B3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 w:rsidRPr="00DC7B35">
        <w:rPr>
          <w:rFonts w:ascii="Times New Roman" w:hAnsi="Times New Roman" w:cs="Times New Roman"/>
          <w:b/>
          <w:sz w:val="24"/>
          <w:szCs w:val="24"/>
        </w:rPr>
        <w:t>«Ангарский электролизный химический комбинат»;</w:t>
      </w:r>
    </w:p>
    <w:p w:rsidR="001B1D33" w:rsidRPr="00DC7B35" w:rsidRDefault="001B1D33" w:rsidP="00DC7B3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Pr="00DC7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Строительная компания «</w:t>
      </w:r>
      <w:proofErr w:type="spellStart"/>
      <w:r w:rsidRPr="00DC7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ВостСибСтрой</w:t>
      </w:r>
      <w:proofErr w:type="spellEnd"/>
      <w:r w:rsidRPr="00DC7B3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C7B35">
        <w:rPr>
          <w:rFonts w:ascii="Times New Roman" w:hAnsi="Times New Roman" w:cs="Times New Roman"/>
          <w:sz w:val="24"/>
          <w:szCs w:val="24"/>
        </w:rPr>
        <w:t>(с 2019 года);</w:t>
      </w:r>
    </w:p>
    <w:p w:rsidR="001B1D33" w:rsidRPr="00DC7B35" w:rsidRDefault="001B1D33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D33" w:rsidRPr="00DC7B35" w:rsidRDefault="001B1D33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lastRenderedPageBreak/>
        <w:t>229 организаций (в 2017 году – 231) имеет право участвовать в заключении договоров строительного подряда с использованием конкурентных способов, а именно:</w:t>
      </w:r>
    </w:p>
    <w:p w:rsidR="001B1D33" w:rsidRPr="00DC7B35" w:rsidRDefault="001B1D33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DC7B3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C7B35">
        <w:rPr>
          <w:rFonts w:ascii="Times New Roman" w:hAnsi="Times New Roman" w:cs="Times New Roman"/>
          <w:b/>
          <w:sz w:val="24"/>
          <w:szCs w:val="24"/>
        </w:rPr>
        <w:t xml:space="preserve"> уровню </w:t>
      </w:r>
      <w:r w:rsidRPr="00DC7B35">
        <w:rPr>
          <w:rFonts w:ascii="Times New Roman" w:hAnsi="Times New Roman" w:cs="Times New Roman"/>
          <w:sz w:val="24"/>
          <w:szCs w:val="24"/>
        </w:rPr>
        <w:t xml:space="preserve">ответственности с предельным размером обязательств, который не превышает 60 миллионов рублей </w:t>
      </w:r>
      <w:r w:rsidRPr="00DC7B35">
        <w:rPr>
          <w:rFonts w:ascii="Times New Roman" w:hAnsi="Times New Roman" w:cs="Times New Roman"/>
          <w:i/>
          <w:sz w:val="24"/>
          <w:szCs w:val="24"/>
        </w:rPr>
        <w:t xml:space="preserve">(КФ ОДО 200 тыс. руб.) – 182 (в 2017 </w:t>
      </w:r>
      <w:proofErr w:type="gramStart"/>
      <w:r w:rsidRPr="00DC7B35">
        <w:rPr>
          <w:rFonts w:ascii="Times New Roman" w:hAnsi="Times New Roman" w:cs="Times New Roman"/>
          <w:i/>
          <w:sz w:val="24"/>
          <w:szCs w:val="24"/>
        </w:rPr>
        <w:t>году  –</w:t>
      </w:r>
      <w:proofErr w:type="gramEnd"/>
      <w:r w:rsidRPr="00DC7B35">
        <w:rPr>
          <w:rFonts w:ascii="Times New Roman" w:hAnsi="Times New Roman" w:cs="Times New Roman"/>
          <w:i/>
          <w:sz w:val="24"/>
          <w:szCs w:val="24"/>
        </w:rPr>
        <w:t xml:space="preserve"> 200);</w:t>
      </w:r>
    </w:p>
    <w:p w:rsidR="001B1D33" w:rsidRPr="00DC7B35" w:rsidRDefault="001B1D33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B3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DC7B3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C7B35">
        <w:rPr>
          <w:rFonts w:ascii="Times New Roman" w:hAnsi="Times New Roman" w:cs="Times New Roman"/>
          <w:b/>
          <w:sz w:val="24"/>
          <w:szCs w:val="24"/>
        </w:rPr>
        <w:t xml:space="preserve"> уровню</w:t>
      </w:r>
      <w:r w:rsidRPr="00DC7B35">
        <w:rPr>
          <w:rFonts w:ascii="Times New Roman" w:hAnsi="Times New Roman" w:cs="Times New Roman"/>
          <w:sz w:val="24"/>
          <w:szCs w:val="24"/>
        </w:rPr>
        <w:t xml:space="preserve"> ответственности с предельным размером обязательств, который не превышает 500 миллионов рублей </w:t>
      </w:r>
      <w:r w:rsidRPr="00DC7B35">
        <w:rPr>
          <w:rFonts w:ascii="Times New Roman" w:hAnsi="Times New Roman" w:cs="Times New Roman"/>
          <w:i/>
          <w:sz w:val="24"/>
          <w:szCs w:val="24"/>
        </w:rPr>
        <w:t xml:space="preserve">(КФ ОДО 2 млн 500 тыс. руб.) – 31 (в 2017 году – 21); </w:t>
      </w:r>
    </w:p>
    <w:p w:rsidR="001B1D33" w:rsidRPr="00DC7B35" w:rsidRDefault="001B1D33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B3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DC7B3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C7B35">
        <w:rPr>
          <w:rFonts w:ascii="Times New Roman" w:hAnsi="Times New Roman" w:cs="Times New Roman"/>
          <w:b/>
          <w:sz w:val="24"/>
          <w:szCs w:val="24"/>
        </w:rPr>
        <w:t xml:space="preserve"> уровню</w:t>
      </w:r>
      <w:r w:rsidRPr="00DC7B35">
        <w:rPr>
          <w:rFonts w:ascii="Times New Roman" w:hAnsi="Times New Roman" w:cs="Times New Roman"/>
          <w:sz w:val="24"/>
          <w:szCs w:val="24"/>
        </w:rPr>
        <w:t xml:space="preserve"> ответственности с предельным размером обязательств, который не превышает 3 миллиарда рублей </w:t>
      </w:r>
      <w:r w:rsidRPr="00DC7B35">
        <w:rPr>
          <w:rFonts w:ascii="Times New Roman" w:hAnsi="Times New Roman" w:cs="Times New Roman"/>
          <w:i/>
          <w:sz w:val="24"/>
          <w:szCs w:val="24"/>
        </w:rPr>
        <w:t xml:space="preserve">(КФ ОДО 4 млн 500 тыс. руб.) – 13 (в 2017 году – 7); </w:t>
      </w:r>
    </w:p>
    <w:p w:rsidR="001B1D33" w:rsidRPr="00DC7B35" w:rsidRDefault="001B1D33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B3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DC7B3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C7B35">
        <w:rPr>
          <w:rFonts w:ascii="Times New Roman" w:hAnsi="Times New Roman" w:cs="Times New Roman"/>
          <w:b/>
          <w:sz w:val="24"/>
          <w:szCs w:val="24"/>
        </w:rPr>
        <w:t xml:space="preserve"> уровню</w:t>
      </w:r>
      <w:r w:rsidRPr="00DC7B35">
        <w:rPr>
          <w:rFonts w:ascii="Times New Roman" w:hAnsi="Times New Roman" w:cs="Times New Roman"/>
          <w:sz w:val="24"/>
          <w:szCs w:val="24"/>
        </w:rPr>
        <w:t xml:space="preserve"> ответственности с предельным размером обязательств, который не превышает 10 миллиардов рублей </w:t>
      </w:r>
      <w:r w:rsidRPr="00DC7B35">
        <w:rPr>
          <w:rFonts w:ascii="Times New Roman" w:hAnsi="Times New Roman" w:cs="Times New Roman"/>
          <w:i/>
          <w:sz w:val="24"/>
          <w:szCs w:val="24"/>
        </w:rPr>
        <w:t>(КФ ОДО 7 млн руб.) – 3 (в 2017 году столько же).</w:t>
      </w:r>
    </w:p>
    <w:p w:rsidR="001B1D33" w:rsidRPr="00DC7B35" w:rsidRDefault="001B1D33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DC7B3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C7B35">
        <w:rPr>
          <w:rFonts w:ascii="Times New Roman" w:hAnsi="Times New Roman" w:cs="Times New Roman"/>
          <w:b/>
          <w:sz w:val="24"/>
          <w:szCs w:val="24"/>
        </w:rPr>
        <w:t xml:space="preserve"> уровню</w:t>
      </w:r>
      <w:r w:rsidRPr="00DC7B35">
        <w:rPr>
          <w:rFonts w:ascii="Times New Roman" w:hAnsi="Times New Roman" w:cs="Times New Roman"/>
          <w:sz w:val="24"/>
          <w:szCs w:val="24"/>
        </w:rPr>
        <w:t xml:space="preserve"> ответственности с предельным размером обязательств свыше 10 миллиардов рублей </w:t>
      </w:r>
      <w:r w:rsidRPr="00DC7B35">
        <w:rPr>
          <w:rFonts w:ascii="Times New Roman" w:hAnsi="Times New Roman" w:cs="Times New Roman"/>
          <w:i/>
          <w:sz w:val="24"/>
          <w:szCs w:val="24"/>
        </w:rPr>
        <w:t>(КФ ОДО 25 млн руб.) – 3 (в 2017 году ни одного).</w:t>
      </w:r>
    </w:p>
    <w:p w:rsidR="001B1D33" w:rsidRPr="00DC7B35" w:rsidRDefault="001B1D33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D33" w:rsidRPr="00DC7B35" w:rsidRDefault="001B1D33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b/>
          <w:sz w:val="24"/>
          <w:szCs w:val="24"/>
        </w:rPr>
        <w:t>Территориально</w:t>
      </w:r>
      <w:r w:rsidRPr="00DC7B35">
        <w:rPr>
          <w:rFonts w:ascii="Times New Roman" w:hAnsi="Times New Roman" w:cs="Times New Roman"/>
          <w:sz w:val="24"/>
          <w:szCs w:val="24"/>
        </w:rPr>
        <w:t xml:space="preserve"> строительные организации представлены следующим образом:</w:t>
      </w:r>
    </w:p>
    <w:p w:rsidR="001B1D33" w:rsidRPr="00DC7B35" w:rsidRDefault="001B1D33" w:rsidP="00DC7B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 xml:space="preserve">В связи с регионализацией СРО, еще на январь 2018 года организаций, зарегистрированных за пределами Иркутской области, не осталось. </w:t>
      </w:r>
    </w:p>
    <w:p w:rsidR="001B1D33" w:rsidRPr="00DC7B35" w:rsidRDefault="001B1D33" w:rsidP="00DC7B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D33" w:rsidRPr="00DC7B35" w:rsidRDefault="001B1D33" w:rsidP="00DC7B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>В Иркутской области строительные компании распределились следующим образом:</w:t>
      </w:r>
    </w:p>
    <w:p w:rsidR="001B1D33" w:rsidRPr="00DC7B35" w:rsidRDefault="001B1D33" w:rsidP="00DC7B35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>Ангарск – 23;</w:t>
      </w:r>
    </w:p>
    <w:p w:rsidR="001B1D33" w:rsidRPr="00DC7B35" w:rsidRDefault="001B1D33" w:rsidP="00DC7B35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>Бодайбо – 3;</w:t>
      </w:r>
    </w:p>
    <w:p w:rsidR="001B1D33" w:rsidRPr="00DC7B35" w:rsidRDefault="001B1D33" w:rsidP="00DC7B35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 xml:space="preserve">Бохан – 1; </w:t>
      </w:r>
    </w:p>
    <w:p w:rsidR="001B1D33" w:rsidRPr="00DC7B35" w:rsidRDefault="001B1D33" w:rsidP="00DC7B35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>Братск и Братский район – 20;</w:t>
      </w:r>
    </w:p>
    <w:p w:rsidR="001B1D33" w:rsidRPr="00DC7B35" w:rsidRDefault="001B1D33" w:rsidP="00DC7B35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>Железногорск-Илимский – 5;</w:t>
      </w:r>
    </w:p>
    <w:p w:rsidR="001B1D33" w:rsidRPr="00DC7B35" w:rsidRDefault="001B1D33" w:rsidP="00DC7B35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B35"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 w:rsidRPr="00DC7B35">
        <w:rPr>
          <w:rFonts w:ascii="Times New Roman" w:hAnsi="Times New Roman" w:cs="Times New Roman"/>
          <w:sz w:val="24"/>
          <w:szCs w:val="24"/>
        </w:rPr>
        <w:t xml:space="preserve"> – 1;</w:t>
      </w:r>
    </w:p>
    <w:p w:rsidR="001B1D33" w:rsidRPr="00DC7B35" w:rsidRDefault="001B1D33" w:rsidP="00DC7B35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 xml:space="preserve">Зима и </w:t>
      </w:r>
      <w:proofErr w:type="spellStart"/>
      <w:r w:rsidRPr="00DC7B35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Pr="00DC7B35">
        <w:rPr>
          <w:rFonts w:ascii="Times New Roman" w:hAnsi="Times New Roman" w:cs="Times New Roman"/>
          <w:sz w:val="24"/>
          <w:szCs w:val="24"/>
        </w:rPr>
        <w:t xml:space="preserve"> район – 11;</w:t>
      </w:r>
    </w:p>
    <w:p w:rsidR="001B1D33" w:rsidRPr="00DC7B35" w:rsidRDefault="001B1D33" w:rsidP="00DC7B35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>Иркутск и Иркутский район – 193;</w:t>
      </w:r>
    </w:p>
    <w:p w:rsidR="001B1D33" w:rsidRPr="00DC7B35" w:rsidRDefault="001B1D33" w:rsidP="00DC7B35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B35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DC7B35">
        <w:rPr>
          <w:rFonts w:ascii="Times New Roman" w:hAnsi="Times New Roman" w:cs="Times New Roman"/>
          <w:sz w:val="24"/>
          <w:szCs w:val="24"/>
        </w:rPr>
        <w:t xml:space="preserve"> район – 3;</w:t>
      </w:r>
    </w:p>
    <w:p w:rsidR="001B1D33" w:rsidRPr="00DC7B35" w:rsidRDefault="001B1D33" w:rsidP="00DC7B35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>Слюдянка – 2;</w:t>
      </w:r>
    </w:p>
    <w:p w:rsidR="001B1D33" w:rsidRPr="00DC7B35" w:rsidRDefault="001B1D33" w:rsidP="00DC7B35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>Тайшет и Тайшетский район – 4;</w:t>
      </w:r>
    </w:p>
    <w:p w:rsidR="001B1D33" w:rsidRPr="00DC7B35" w:rsidRDefault="001B1D33" w:rsidP="00DC7B35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 xml:space="preserve">Усолье-Сибирское и </w:t>
      </w:r>
      <w:proofErr w:type="spellStart"/>
      <w:r w:rsidRPr="00DC7B35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Pr="00DC7B35">
        <w:rPr>
          <w:rFonts w:ascii="Times New Roman" w:hAnsi="Times New Roman" w:cs="Times New Roman"/>
          <w:sz w:val="24"/>
          <w:szCs w:val="24"/>
        </w:rPr>
        <w:t xml:space="preserve"> район – 5; </w:t>
      </w:r>
    </w:p>
    <w:p w:rsidR="001B1D33" w:rsidRPr="00DC7B35" w:rsidRDefault="001B1D33" w:rsidP="00DC7B35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>Усть-Илимск и Усть-Илимский район – 6;</w:t>
      </w:r>
    </w:p>
    <w:p w:rsidR="001B1D33" w:rsidRPr="00DC7B35" w:rsidRDefault="001B1D33" w:rsidP="00DC7B35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>Усть-Кут – 4;</w:t>
      </w:r>
    </w:p>
    <w:p w:rsidR="001B1D33" w:rsidRPr="00DC7B35" w:rsidRDefault="001B1D33" w:rsidP="00DC7B35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 xml:space="preserve">Черемхово и Черемховский район – 6; </w:t>
      </w:r>
    </w:p>
    <w:p w:rsidR="001B1D33" w:rsidRPr="00DC7B35" w:rsidRDefault="001B1D33" w:rsidP="00DC7B35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>Шелехов – 10</w:t>
      </w:r>
    </w:p>
    <w:p w:rsidR="001B1D33" w:rsidRPr="00DC7B35" w:rsidRDefault="001B1D33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>Отличительной чертой этого года стал большой приток организаций из периферии.</w:t>
      </w:r>
    </w:p>
    <w:p w:rsidR="001B1D33" w:rsidRPr="00DC7B35" w:rsidRDefault="001B1D33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D33" w:rsidRPr="00DC7B35" w:rsidRDefault="001B1D33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>Приоритетными задачами Ассоциации РООР СРОСБР в 2018 году, как и во все предыдущие годы, остается неукоснительное исполнение требований законодательства в сфере саморегулирования в целях повышения эффективности деятельности строительных организаций – членов нашей Ассоциации!</w:t>
      </w:r>
    </w:p>
    <w:p w:rsidR="001B1D33" w:rsidRPr="00DC7B35" w:rsidRDefault="001B1D33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CAE" w:rsidRPr="00DC7B35" w:rsidRDefault="000B0CAE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627E" w:rsidRPr="00DC7B35" w:rsidRDefault="00B2627E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7B35">
        <w:rPr>
          <w:rFonts w:ascii="Times New Roman" w:hAnsi="Times New Roman" w:cs="Times New Roman"/>
          <w:b/>
          <w:sz w:val="24"/>
          <w:szCs w:val="24"/>
        </w:rPr>
        <w:t>2  Финансы</w:t>
      </w:r>
      <w:proofErr w:type="gramEnd"/>
    </w:p>
    <w:p w:rsidR="00B2627E" w:rsidRPr="00DC7B35" w:rsidRDefault="00B2627E" w:rsidP="00DC7B3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B35">
        <w:rPr>
          <w:rFonts w:ascii="Times New Roman" w:hAnsi="Times New Roman" w:cs="Times New Roman"/>
          <w:sz w:val="24"/>
          <w:szCs w:val="24"/>
        </w:rPr>
        <w:t>Для  обеспечения</w:t>
      </w:r>
      <w:proofErr w:type="gramEnd"/>
      <w:r w:rsidRPr="00DC7B35">
        <w:rPr>
          <w:rFonts w:ascii="Times New Roman" w:hAnsi="Times New Roman" w:cs="Times New Roman"/>
          <w:sz w:val="24"/>
          <w:szCs w:val="24"/>
        </w:rPr>
        <w:t xml:space="preserve">  деятельности  Ассоциации РООР СРОСБР  собранием  19 апреля 2018 </w:t>
      </w:r>
      <w:r w:rsidRPr="00DC7B35">
        <w:rPr>
          <w:rFonts w:ascii="Times New Roman" w:hAnsi="Times New Roman" w:cs="Times New Roman"/>
          <w:sz w:val="24"/>
          <w:szCs w:val="24"/>
          <w:u w:val="single"/>
        </w:rPr>
        <w:t>утверждена  смета</w:t>
      </w:r>
      <w:r w:rsidRPr="00DC7B35">
        <w:rPr>
          <w:rFonts w:ascii="Times New Roman" w:hAnsi="Times New Roman" w:cs="Times New Roman"/>
          <w:sz w:val="24"/>
          <w:szCs w:val="24"/>
        </w:rPr>
        <w:t xml:space="preserve">  с  расходной  частью  на  сумму  </w:t>
      </w:r>
      <w:r w:rsidRPr="00DC7B35">
        <w:rPr>
          <w:rFonts w:ascii="Times New Roman" w:hAnsi="Times New Roman" w:cs="Times New Roman"/>
          <w:b/>
          <w:sz w:val="24"/>
          <w:szCs w:val="24"/>
          <w:u w:val="single"/>
        </w:rPr>
        <w:t>33 млн. 800 тыс. руб</w:t>
      </w:r>
      <w:r w:rsidRPr="00DC7B3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C7B35">
        <w:rPr>
          <w:rFonts w:ascii="Times New Roman" w:hAnsi="Times New Roman" w:cs="Times New Roman"/>
          <w:sz w:val="24"/>
          <w:szCs w:val="24"/>
        </w:rPr>
        <w:t xml:space="preserve"> (2017 г. -  30 млн. 700 тыс. рублей).</w:t>
      </w:r>
    </w:p>
    <w:p w:rsidR="00B2627E" w:rsidRPr="00DC7B35" w:rsidRDefault="00B2627E" w:rsidP="00DC7B3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 xml:space="preserve"> Фактически по всем разделам расходной части сметы израсходовано </w:t>
      </w:r>
      <w:r w:rsidRPr="00DC7B35">
        <w:rPr>
          <w:rFonts w:ascii="Times New Roman" w:hAnsi="Times New Roman" w:cs="Times New Roman"/>
          <w:b/>
          <w:sz w:val="24"/>
          <w:szCs w:val="24"/>
          <w:u w:val="single"/>
        </w:rPr>
        <w:t>28 млн. 177 тыс. руб</w:t>
      </w:r>
      <w:r w:rsidRPr="00DC7B35">
        <w:rPr>
          <w:rFonts w:ascii="Times New Roman" w:hAnsi="Times New Roman" w:cs="Times New Roman"/>
          <w:sz w:val="24"/>
          <w:szCs w:val="24"/>
        </w:rPr>
        <w:t>.  (2017 г – 26 млн. 559 тыс. руб.).</w:t>
      </w:r>
    </w:p>
    <w:p w:rsidR="00B2627E" w:rsidRPr="00DC7B35" w:rsidRDefault="00B2627E" w:rsidP="00DC7B3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B35">
        <w:rPr>
          <w:rFonts w:ascii="Times New Roman" w:hAnsi="Times New Roman" w:cs="Times New Roman"/>
          <w:sz w:val="24"/>
          <w:szCs w:val="24"/>
        </w:rPr>
        <w:t>Таким  образом</w:t>
      </w:r>
      <w:proofErr w:type="gramEnd"/>
      <w:r w:rsidRPr="00DC7B35">
        <w:rPr>
          <w:rFonts w:ascii="Times New Roman" w:hAnsi="Times New Roman" w:cs="Times New Roman"/>
          <w:sz w:val="24"/>
          <w:szCs w:val="24"/>
        </w:rPr>
        <w:t xml:space="preserve">,  </w:t>
      </w:r>
      <w:r w:rsidRPr="00DC7B35">
        <w:rPr>
          <w:rFonts w:ascii="Times New Roman" w:hAnsi="Times New Roman" w:cs="Times New Roman"/>
          <w:b/>
          <w:sz w:val="24"/>
          <w:szCs w:val="24"/>
          <w:u w:val="single"/>
        </w:rPr>
        <w:t>экономия</w:t>
      </w:r>
      <w:r w:rsidRPr="00DC7B35">
        <w:rPr>
          <w:rFonts w:ascii="Times New Roman" w:hAnsi="Times New Roman" w:cs="Times New Roman"/>
          <w:sz w:val="24"/>
          <w:szCs w:val="24"/>
        </w:rPr>
        <w:t xml:space="preserve">  расходной части за 2018 год составила </w:t>
      </w:r>
      <w:r w:rsidRPr="00DC7B35">
        <w:rPr>
          <w:rFonts w:ascii="Times New Roman" w:hAnsi="Times New Roman" w:cs="Times New Roman"/>
          <w:b/>
          <w:sz w:val="24"/>
          <w:szCs w:val="24"/>
          <w:u w:val="single"/>
        </w:rPr>
        <w:t xml:space="preserve">5 млн. 623 тыс. руб. </w:t>
      </w:r>
      <w:r w:rsidRPr="00DC7B35">
        <w:rPr>
          <w:rFonts w:ascii="Times New Roman" w:hAnsi="Times New Roman" w:cs="Times New Roman"/>
          <w:sz w:val="24"/>
          <w:szCs w:val="24"/>
        </w:rPr>
        <w:t>(2017 г. - 4 млн. 140 тыс. руб.).</w:t>
      </w:r>
    </w:p>
    <w:p w:rsidR="00B2627E" w:rsidRPr="00DC7B35" w:rsidRDefault="00B2627E" w:rsidP="00DC7B3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B35">
        <w:rPr>
          <w:rFonts w:ascii="Times New Roman" w:hAnsi="Times New Roman" w:cs="Times New Roman"/>
          <w:sz w:val="24"/>
          <w:szCs w:val="24"/>
        </w:rPr>
        <w:lastRenderedPageBreak/>
        <w:t>За  отчетный</w:t>
      </w:r>
      <w:proofErr w:type="gramEnd"/>
      <w:r w:rsidRPr="00DC7B35">
        <w:rPr>
          <w:rFonts w:ascii="Times New Roman" w:hAnsi="Times New Roman" w:cs="Times New Roman"/>
          <w:sz w:val="24"/>
          <w:szCs w:val="24"/>
        </w:rPr>
        <w:t xml:space="preserve">  период  </w:t>
      </w:r>
      <w:r w:rsidRPr="00DC7B35">
        <w:rPr>
          <w:rFonts w:ascii="Times New Roman" w:hAnsi="Times New Roman" w:cs="Times New Roman"/>
          <w:sz w:val="24"/>
          <w:szCs w:val="24"/>
          <w:u w:val="single"/>
        </w:rPr>
        <w:t>начислено   взносов</w:t>
      </w:r>
      <w:r w:rsidRPr="00DC7B35">
        <w:rPr>
          <w:rFonts w:ascii="Times New Roman" w:hAnsi="Times New Roman" w:cs="Times New Roman"/>
          <w:sz w:val="24"/>
          <w:szCs w:val="24"/>
        </w:rPr>
        <w:t xml:space="preserve">   (членских взносов – 25 млн. 193 тыс. руб. и вступительный- 1 250 тыс. руб. или 25 организаций)  всего за 2018 год - </w:t>
      </w:r>
      <w:r w:rsidRPr="00DC7B35">
        <w:rPr>
          <w:rFonts w:ascii="Times New Roman" w:hAnsi="Times New Roman" w:cs="Times New Roman"/>
          <w:b/>
          <w:sz w:val="24"/>
          <w:szCs w:val="24"/>
          <w:u w:val="single"/>
        </w:rPr>
        <w:t>26 млн. 443 тыс. руб</w:t>
      </w:r>
      <w:r w:rsidRPr="00DC7B3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C7B35">
        <w:rPr>
          <w:rFonts w:ascii="Times New Roman" w:hAnsi="Times New Roman" w:cs="Times New Roman"/>
          <w:sz w:val="24"/>
          <w:szCs w:val="24"/>
        </w:rPr>
        <w:t xml:space="preserve">  (членский за 2017 год – 22 824 тыс. руб. и вступительный – 4 650 тыс. руб. или 93 организации – всего за 2017 г. </w:t>
      </w:r>
      <w:proofErr w:type="gramStart"/>
      <w:r w:rsidRPr="00DC7B35">
        <w:rPr>
          <w:rFonts w:ascii="Times New Roman" w:hAnsi="Times New Roman" w:cs="Times New Roman"/>
          <w:sz w:val="24"/>
          <w:szCs w:val="24"/>
        </w:rPr>
        <w:t>на  сумму</w:t>
      </w:r>
      <w:proofErr w:type="gramEnd"/>
      <w:r w:rsidRPr="00DC7B35">
        <w:rPr>
          <w:rFonts w:ascii="Times New Roman" w:hAnsi="Times New Roman" w:cs="Times New Roman"/>
          <w:sz w:val="24"/>
          <w:szCs w:val="24"/>
        </w:rPr>
        <w:t xml:space="preserve">  27 млн. 474 тыс. руб.) </w:t>
      </w:r>
    </w:p>
    <w:p w:rsidR="00B2627E" w:rsidRPr="00DC7B35" w:rsidRDefault="00B2627E" w:rsidP="00DC7B3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  <w:u w:val="single"/>
        </w:rPr>
        <w:t>Фактически за 2018 год поступило</w:t>
      </w:r>
      <w:r w:rsidRPr="00DC7B35">
        <w:rPr>
          <w:rFonts w:ascii="Times New Roman" w:hAnsi="Times New Roman" w:cs="Times New Roman"/>
          <w:sz w:val="24"/>
          <w:szCs w:val="24"/>
        </w:rPr>
        <w:t xml:space="preserve">  на счет  Ассоциации РООР СРОСБР  (23 млн. 18 тыс. руб. – членский за 2018 г. /</w:t>
      </w:r>
      <w:r w:rsidRPr="00DC7B35">
        <w:rPr>
          <w:rFonts w:ascii="Times New Roman" w:hAnsi="Times New Roman" w:cs="Times New Roman"/>
          <w:i/>
          <w:sz w:val="24"/>
          <w:szCs w:val="24"/>
        </w:rPr>
        <w:t>или 91%</w:t>
      </w:r>
      <w:r w:rsidRPr="00DC7B35">
        <w:rPr>
          <w:rFonts w:ascii="Times New Roman" w:hAnsi="Times New Roman" w:cs="Times New Roman"/>
          <w:sz w:val="24"/>
          <w:szCs w:val="24"/>
        </w:rPr>
        <w:t xml:space="preserve">/ и  1 250 тыс. руб. – вступительный), всего за 2018 год – </w:t>
      </w:r>
      <w:r w:rsidRPr="00DC7B35">
        <w:rPr>
          <w:rFonts w:ascii="Times New Roman" w:hAnsi="Times New Roman" w:cs="Times New Roman"/>
          <w:b/>
          <w:sz w:val="24"/>
          <w:szCs w:val="24"/>
          <w:u w:val="single"/>
        </w:rPr>
        <w:t>24 млн. 268 тыс. руб</w:t>
      </w:r>
      <w:r w:rsidRPr="00DC7B35">
        <w:rPr>
          <w:rFonts w:ascii="Times New Roman" w:hAnsi="Times New Roman" w:cs="Times New Roman"/>
          <w:sz w:val="24"/>
          <w:szCs w:val="24"/>
        </w:rPr>
        <w:t xml:space="preserve">.; (20 759 тыс. руб. - членский за 2017 год </w:t>
      </w:r>
      <w:r w:rsidRPr="00DC7B35">
        <w:rPr>
          <w:rFonts w:ascii="Times New Roman" w:hAnsi="Times New Roman" w:cs="Times New Roman"/>
          <w:i/>
          <w:sz w:val="24"/>
          <w:szCs w:val="24"/>
        </w:rPr>
        <w:t xml:space="preserve"> /или 90%/</w:t>
      </w:r>
      <w:r w:rsidRPr="00DC7B35">
        <w:rPr>
          <w:rFonts w:ascii="Times New Roman" w:hAnsi="Times New Roman" w:cs="Times New Roman"/>
          <w:sz w:val="24"/>
          <w:szCs w:val="24"/>
        </w:rPr>
        <w:t xml:space="preserve"> и 4 650 тыс. руб. – вступительный – всего за 2017 г. -  </w:t>
      </w:r>
      <w:r w:rsidRPr="00DC7B35">
        <w:rPr>
          <w:rFonts w:ascii="Times New Roman" w:hAnsi="Times New Roman" w:cs="Times New Roman"/>
          <w:sz w:val="24"/>
          <w:szCs w:val="24"/>
          <w:u w:val="single"/>
        </w:rPr>
        <w:t>25 млн. 409</w:t>
      </w:r>
      <w:r w:rsidRPr="00DC7B35">
        <w:rPr>
          <w:rFonts w:ascii="Times New Roman" w:hAnsi="Times New Roman" w:cs="Times New Roman"/>
          <w:sz w:val="24"/>
          <w:szCs w:val="24"/>
        </w:rPr>
        <w:t xml:space="preserve"> тыс. руб.).  </w:t>
      </w:r>
    </w:p>
    <w:p w:rsidR="00B2627E" w:rsidRPr="00DC7B35" w:rsidRDefault="00B2627E" w:rsidP="00DC7B3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  <w:u w:val="single"/>
        </w:rPr>
        <w:t>Недоплата</w:t>
      </w:r>
      <w:r w:rsidRPr="00DC7B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7B35">
        <w:rPr>
          <w:rFonts w:ascii="Times New Roman" w:hAnsi="Times New Roman" w:cs="Times New Roman"/>
          <w:sz w:val="24"/>
          <w:szCs w:val="24"/>
        </w:rPr>
        <w:t>членских  взносов</w:t>
      </w:r>
      <w:proofErr w:type="gramEnd"/>
      <w:r w:rsidRPr="00DC7B35">
        <w:rPr>
          <w:rFonts w:ascii="Times New Roman" w:hAnsi="Times New Roman" w:cs="Times New Roman"/>
          <w:sz w:val="24"/>
          <w:szCs w:val="24"/>
        </w:rPr>
        <w:t xml:space="preserve">  за 2018 год составила   </w:t>
      </w:r>
      <w:r w:rsidRPr="00DC7B35">
        <w:rPr>
          <w:rFonts w:ascii="Times New Roman" w:hAnsi="Times New Roman" w:cs="Times New Roman"/>
          <w:b/>
          <w:sz w:val="24"/>
          <w:szCs w:val="24"/>
          <w:u w:val="single"/>
        </w:rPr>
        <w:t>2 млн. 175 тыс. руб</w:t>
      </w:r>
      <w:r w:rsidRPr="00DC7B35">
        <w:rPr>
          <w:rFonts w:ascii="Times New Roman" w:hAnsi="Times New Roman" w:cs="Times New Roman"/>
          <w:sz w:val="24"/>
          <w:szCs w:val="24"/>
        </w:rPr>
        <w:t>. или 9% (за 2017 г. - 2 млн. 65 тыс. руб. или  10%)</w:t>
      </w:r>
    </w:p>
    <w:p w:rsidR="00B2627E" w:rsidRPr="00DC7B35" w:rsidRDefault="00B2627E" w:rsidP="00DC7B3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B35">
        <w:rPr>
          <w:rFonts w:ascii="Times New Roman" w:hAnsi="Times New Roman" w:cs="Times New Roman"/>
          <w:sz w:val="24"/>
          <w:szCs w:val="24"/>
          <w:u w:val="single"/>
        </w:rPr>
        <w:t>С  учетом</w:t>
      </w:r>
      <w:proofErr w:type="gramEnd"/>
      <w:r w:rsidRPr="00DC7B35">
        <w:rPr>
          <w:rFonts w:ascii="Times New Roman" w:hAnsi="Times New Roman" w:cs="Times New Roman"/>
          <w:sz w:val="24"/>
          <w:szCs w:val="24"/>
          <w:u w:val="single"/>
        </w:rPr>
        <w:t xml:space="preserve">  банковских процентов</w:t>
      </w:r>
      <w:r w:rsidRPr="00DC7B35">
        <w:rPr>
          <w:rFonts w:ascii="Times New Roman" w:hAnsi="Times New Roman" w:cs="Times New Roman"/>
          <w:sz w:val="24"/>
          <w:szCs w:val="24"/>
        </w:rPr>
        <w:t xml:space="preserve">   в размере 885 тыс. руб. </w:t>
      </w:r>
      <w:r w:rsidRPr="00DC7B35">
        <w:rPr>
          <w:rFonts w:ascii="Times New Roman" w:hAnsi="Times New Roman" w:cs="Times New Roman"/>
          <w:sz w:val="24"/>
          <w:szCs w:val="24"/>
          <w:u w:val="single"/>
        </w:rPr>
        <w:t>поступление (начисление)</w:t>
      </w:r>
      <w:r w:rsidRPr="00DC7B35">
        <w:rPr>
          <w:rFonts w:ascii="Times New Roman" w:hAnsi="Times New Roman" w:cs="Times New Roman"/>
          <w:sz w:val="24"/>
          <w:szCs w:val="24"/>
        </w:rPr>
        <w:t xml:space="preserve">  денежных  средств (без Компенсационного фонда)  </w:t>
      </w:r>
      <w:r w:rsidRPr="00DC7B35">
        <w:rPr>
          <w:rFonts w:ascii="Times New Roman" w:hAnsi="Times New Roman" w:cs="Times New Roman"/>
          <w:sz w:val="24"/>
          <w:szCs w:val="24"/>
          <w:u w:val="single"/>
        </w:rPr>
        <w:t xml:space="preserve">составило в 2018 г. – </w:t>
      </w:r>
      <w:r w:rsidRPr="00DC7B35">
        <w:rPr>
          <w:rFonts w:ascii="Times New Roman" w:hAnsi="Times New Roman" w:cs="Times New Roman"/>
          <w:b/>
          <w:sz w:val="24"/>
          <w:szCs w:val="24"/>
          <w:u w:val="single"/>
        </w:rPr>
        <w:t>27 млн. 328 тыс. руб</w:t>
      </w:r>
      <w:r w:rsidRPr="00DC7B35">
        <w:rPr>
          <w:rFonts w:ascii="Times New Roman" w:hAnsi="Times New Roman" w:cs="Times New Roman"/>
          <w:sz w:val="24"/>
          <w:szCs w:val="24"/>
        </w:rPr>
        <w:t>. (2017 г -  28 млн. 230 тыс. руб.).</w:t>
      </w:r>
    </w:p>
    <w:p w:rsidR="00B2627E" w:rsidRPr="00DC7B35" w:rsidRDefault="00B2627E" w:rsidP="00DC7B3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B35">
        <w:rPr>
          <w:rFonts w:ascii="Times New Roman" w:hAnsi="Times New Roman" w:cs="Times New Roman"/>
          <w:sz w:val="24"/>
          <w:szCs w:val="24"/>
          <w:u w:val="single"/>
        </w:rPr>
        <w:t>Дефицит</w:t>
      </w:r>
      <w:r w:rsidRPr="00DC7B35">
        <w:rPr>
          <w:rFonts w:ascii="Times New Roman" w:hAnsi="Times New Roman" w:cs="Times New Roman"/>
          <w:sz w:val="24"/>
          <w:szCs w:val="24"/>
        </w:rPr>
        <w:t xml:space="preserve">  средств</w:t>
      </w:r>
      <w:proofErr w:type="gramEnd"/>
      <w:r w:rsidRPr="00DC7B35">
        <w:rPr>
          <w:rFonts w:ascii="Times New Roman" w:hAnsi="Times New Roman" w:cs="Times New Roman"/>
          <w:sz w:val="24"/>
          <w:szCs w:val="24"/>
        </w:rPr>
        <w:t xml:space="preserve">  (кассовый разрыв) в  сумме  </w:t>
      </w:r>
      <w:r w:rsidRPr="00DC7B35">
        <w:rPr>
          <w:rFonts w:ascii="Times New Roman" w:hAnsi="Times New Roman" w:cs="Times New Roman"/>
          <w:b/>
          <w:sz w:val="24"/>
          <w:szCs w:val="24"/>
        </w:rPr>
        <w:t>1</w:t>
      </w:r>
      <w:r w:rsidRPr="00DC7B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млн. 290 тыс. руб</w:t>
      </w:r>
      <w:r w:rsidRPr="00DC7B35">
        <w:rPr>
          <w:rFonts w:ascii="Times New Roman" w:hAnsi="Times New Roman" w:cs="Times New Roman"/>
          <w:sz w:val="24"/>
          <w:szCs w:val="24"/>
        </w:rPr>
        <w:t xml:space="preserve">. (в 2017 г – 1 млн. 310 тыс. руб.) </w:t>
      </w:r>
      <w:r w:rsidRPr="00DC7B35">
        <w:rPr>
          <w:rFonts w:ascii="Times New Roman" w:hAnsi="Times New Roman" w:cs="Times New Roman"/>
          <w:sz w:val="24"/>
          <w:szCs w:val="24"/>
          <w:u w:val="single"/>
        </w:rPr>
        <w:t>был покрыт</w:t>
      </w:r>
      <w:r w:rsidRPr="00DC7B35">
        <w:rPr>
          <w:rFonts w:ascii="Times New Roman" w:hAnsi="Times New Roman" w:cs="Times New Roman"/>
          <w:sz w:val="24"/>
          <w:szCs w:val="24"/>
        </w:rPr>
        <w:t xml:space="preserve">  (в соответствии с Регламентом использования вступительных взносов, утвержденным Общим собранием членов Партнерства  в мае </w:t>
      </w:r>
      <w:smartTag w:uri="urn:schemas-microsoft-com:office:smarttags" w:element="metricconverter">
        <w:smartTagPr>
          <w:attr w:name="ProductID" w:val="2011 г"/>
        </w:smartTagPr>
        <w:r w:rsidRPr="00DC7B35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DC7B35">
        <w:rPr>
          <w:rFonts w:ascii="Times New Roman" w:hAnsi="Times New Roman" w:cs="Times New Roman"/>
          <w:sz w:val="24"/>
          <w:szCs w:val="24"/>
        </w:rPr>
        <w:t xml:space="preserve">.), </w:t>
      </w:r>
      <w:r w:rsidRPr="00DC7B35">
        <w:rPr>
          <w:rFonts w:ascii="Times New Roman" w:hAnsi="Times New Roman" w:cs="Times New Roman"/>
          <w:sz w:val="24"/>
          <w:szCs w:val="24"/>
          <w:u w:val="single"/>
        </w:rPr>
        <w:t>из  резерва  вступительных  взносов</w:t>
      </w:r>
      <w:r w:rsidRPr="00DC7B35">
        <w:rPr>
          <w:rFonts w:ascii="Times New Roman" w:hAnsi="Times New Roman" w:cs="Times New Roman"/>
          <w:sz w:val="24"/>
          <w:szCs w:val="24"/>
        </w:rPr>
        <w:t>. Детализация приведенных выше цифр и дополнительная информация находится в Пояснениях к годовой бухгалтерской отчетности за 2018 г.</w:t>
      </w:r>
    </w:p>
    <w:p w:rsidR="00B2627E" w:rsidRPr="00DC7B35" w:rsidRDefault="00B2627E" w:rsidP="00DC7B3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627E" w:rsidRPr="00DC7B35" w:rsidRDefault="00B2627E" w:rsidP="00DC7B3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 xml:space="preserve">Ассоциация РООР СРОСБР средства компенсационных фондов возмещения вреда и обеспечения договорных обязательств, сформированных в соответствии со ст. 55.4 и 55.16 Градостроительного кодекса РФ, размещает на специальных банковских счетах в Байкальский банк </w:t>
      </w:r>
      <w:r w:rsidRPr="00DC7B35">
        <w:rPr>
          <w:rFonts w:ascii="Times New Roman" w:hAnsi="Times New Roman" w:cs="Times New Roman"/>
          <w:b/>
          <w:sz w:val="24"/>
          <w:szCs w:val="24"/>
        </w:rPr>
        <w:t xml:space="preserve">ПАО «Сбербанк»: </w:t>
      </w:r>
    </w:p>
    <w:p w:rsidR="00B2627E" w:rsidRPr="00DC7B35" w:rsidRDefault="00B2627E" w:rsidP="00DC7B3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 xml:space="preserve">№ </w:t>
      </w:r>
      <w:r w:rsidRPr="00DC7B35">
        <w:rPr>
          <w:rFonts w:ascii="Times New Roman" w:hAnsi="Times New Roman" w:cs="Times New Roman"/>
          <w:b/>
          <w:sz w:val="24"/>
          <w:szCs w:val="24"/>
        </w:rPr>
        <w:t>40703810518350000 440</w:t>
      </w:r>
      <w:r w:rsidRPr="00DC7B35">
        <w:rPr>
          <w:rFonts w:ascii="Times New Roman" w:hAnsi="Times New Roman" w:cs="Times New Roman"/>
          <w:sz w:val="24"/>
          <w:szCs w:val="24"/>
        </w:rPr>
        <w:t xml:space="preserve"> для размещения средств компенсационного фонда возмещения вреда;</w:t>
      </w:r>
    </w:p>
    <w:p w:rsidR="00B2627E" w:rsidRDefault="00B2627E" w:rsidP="00DC7B3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 xml:space="preserve">№ </w:t>
      </w:r>
      <w:r w:rsidRPr="00DC7B35">
        <w:rPr>
          <w:rFonts w:ascii="Times New Roman" w:hAnsi="Times New Roman" w:cs="Times New Roman"/>
          <w:b/>
          <w:sz w:val="24"/>
          <w:szCs w:val="24"/>
        </w:rPr>
        <w:t xml:space="preserve">40703810818350000441 </w:t>
      </w:r>
      <w:r w:rsidRPr="00DC7B35">
        <w:rPr>
          <w:rFonts w:ascii="Times New Roman" w:hAnsi="Times New Roman" w:cs="Times New Roman"/>
          <w:sz w:val="24"/>
          <w:szCs w:val="24"/>
        </w:rPr>
        <w:t xml:space="preserve">для размещения средств компенсационного </w:t>
      </w:r>
      <w:proofErr w:type="gramStart"/>
      <w:r w:rsidRPr="00DC7B35">
        <w:rPr>
          <w:rFonts w:ascii="Times New Roman" w:hAnsi="Times New Roman" w:cs="Times New Roman"/>
          <w:sz w:val="24"/>
          <w:szCs w:val="24"/>
        </w:rPr>
        <w:t>фонда  обеспечения</w:t>
      </w:r>
      <w:proofErr w:type="gramEnd"/>
      <w:r w:rsidRPr="00DC7B35">
        <w:rPr>
          <w:rFonts w:ascii="Times New Roman" w:hAnsi="Times New Roman" w:cs="Times New Roman"/>
          <w:sz w:val="24"/>
          <w:szCs w:val="24"/>
        </w:rPr>
        <w:t xml:space="preserve"> договорных обязательств.</w:t>
      </w:r>
    </w:p>
    <w:p w:rsidR="00DC7B35" w:rsidRPr="00DC7B35" w:rsidRDefault="00DC7B35" w:rsidP="00DC7B3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58"/>
        <w:gridCol w:w="5587"/>
        <w:gridCol w:w="3093"/>
      </w:tblGrid>
      <w:tr w:rsidR="00B2627E" w:rsidRPr="00DC7B35" w:rsidTr="00DC7B35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27E" w:rsidRPr="00DC7B35" w:rsidRDefault="00B2627E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</w:t>
            </w:r>
          </w:p>
          <w:p w:rsidR="00851923" w:rsidRPr="00DC7B35" w:rsidRDefault="00B2627E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движении средств Компенсационного фонда А</w:t>
            </w:r>
            <w:r w:rsidR="00851923" w:rsidRPr="00DC7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ссоциации РООР СРОСБР за 2018г.</w:t>
            </w:r>
          </w:p>
          <w:p w:rsidR="00851923" w:rsidRPr="00DC7B35" w:rsidRDefault="00851923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C7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 соответствии</w:t>
            </w:r>
            <w:proofErr w:type="gramEnd"/>
            <w:r w:rsidRPr="00DC7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 решением общего  собрания  в  2017  году  было  принято  решение  для  того,  чтобы  избежать  необходимости  уплаты  дополнительных  налогов  из  сметы  Ассоциации,  размещать  средства  компенсационных  фондов  на  беспроцентных  вкладах.</w:t>
            </w:r>
            <w:r w:rsidR="00B044FD" w:rsidRPr="00DC7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="00B044FD" w:rsidRPr="00DC7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Поэтому  увеличение</w:t>
            </w:r>
            <w:proofErr w:type="gramEnd"/>
            <w:r w:rsidR="00B044FD" w:rsidRPr="00DC7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средств  </w:t>
            </w:r>
            <w:proofErr w:type="spellStart"/>
            <w:r w:rsidR="00B044FD" w:rsidRPr="00DC7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компфондов</w:t>
            </w:r>
            <w:proofErr w:type="spellEnd"/>
            <w:r w:rsidR="00B044FD" w:rsidRPr="00DC7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происходило только за счет взносов  членов  Ассоциации.</w:t>
            </w:r>
          </w:p>
        </w:tc>
      </w:tr>
      <w:tr w:rsidR="00B2627E" w:rsidRPr="00DC7B35" w:rsidTr="00DC7B35">
        <w:trPr>
          <w:trHeight w:val="255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27E" w:rsidRPr="00DC7B35" w:rsidRDefault="00B2627E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27E" w:rsidRPr="00DC7B35" w:rsidRDefault="00B2627E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27E" w:rsidRPr="00DC7B35" w:rsidRDefault="00B2627E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627E" w:rsidRPr="00DC7B35" w:rsidTr="00DC7B35">
        <w:trPr>
          <w:trHeight w:val="255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27E" w:rsidRPr="00DC7B35" w:rsidRDefault="00B2627E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п/п 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27E" w:rsidRPr="00DC7B35" w:rsidRDefault="00B2627E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27E" w:rsidRPr="00DC7B35" w:rsidRDefault="00B2627E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7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DC7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B2627E" w:rsidRPr="00DC7B35" w:rsidTr="00DC7B35">
        <w:trPr>
          <w:trHeight w:val="255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27E" w:rsidRPr="00DC7B35" w:rsidRDefault="00B2627E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27E" w:rsidRPr="00DC7B35" w:rsidRDefault="00B2627E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>Остаток на 01.01.2018 г.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27E" w:rsidRPr="00DC7B35" w:rsidRDefault="00B2627E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537 879</w:t>
            </w:r>
          </w:p>
        </w:tc>
      </w:tr>
      <w:tr w:rsidR="00B2627E" w:rsidRPr="00DC7B35" w:rsidTr="00DC7B35">
        <w:trPr>
          <w:trHeight w:val="300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27E" w:rsidRPr="00DC7B35" w:rsidRDefault="00B2627E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27E" w:rsidRPr="00DC7B35" w:rsidRDefault="00B2627E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B35">
              <w:rPr>
                <w:rFonts w:ascii="Times New Roman" w:hAnsi="Times New Roman" w:cs="Times New Roman"/>
                <w:sz w:val="24"/>
                <w:szCs w:val="24"/>
              </w:rPr>
              <w:t>Движение  за</w:t>
            </w:r>
            <w:proofErr w:type="gramEnd"/>
            <w:r w:rsidRPr="00DC7B35">
              <w:rPr>
                <w:rFonts w:ascii="Times New Roman" w:hAnsi="Times New Roman" w:cs="Times New Roman"/>
                <w:sz w:val="24"/>
                <w:szCs w:val="24"/>
              </w:rPr>
              <w:t xml:space="preserve"> 2018 г.: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27E" w:rsidRPr="00DC7B35" w:rsidRDefault="00B2627E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627E" w:rsidRPr="00DC7B35" w:rsidTr="00DC7B35">
        <w:trPr>
          <w:trHeight w:val="300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27E" w:rsidRPr="00DC7B35" w:rsidRDefault="00B2627E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27E" w:rsidRPr="00DC7B35" w:rsidRDefault="00B2627E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>Уплачено членами Ассоциации РООР СРОСБР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27E" w:rsidRPr="00DC7B35" w:rsidRDefault="00B2627E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75 288</w:t>
            </w:r>
          </w:p>
        </w:tc>
      </w:tr>
      <w:tr w:rsidR="00B2627E" w:rsidRPr="00DC7B35" w:rsidTr="00DC7B35">
        <w:trPr>
          <w:trHeight w:val="300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27E" w:rsidRPr="00DC7B35" w:rsidRDefault="00B2627E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27E" w:rsidRPr="00DC7B35" w:rsidRDefault="00B2627E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31.12.2018 г.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27E" w:rsidRPr="00DC7B35" w:rsidRDefault="00B2627E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613 167</w:t>
            </w:r>
          </w:p>
        </w:tc>
      </w:tr>
      <w:tr w:rsidR="00B2627E" w:rsidRPr="00DC7B35" w:rsidTr="00DC7B35">
        <w:trPr>
          <w:trHeight w:val="300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27E" w:rsidRPr="00DC7B35" w:rsidRDefault="00B2627E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27E" w:rsidRPr="00DC7B35" w:rsidRDefault="00B2627E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27E" w:rsidRPr="00DC7B35" w:rsidRDefault="00B2627E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2627E" w:rsidRPr="00DC7B35" w:rsidTr="00DC7B35">
        <w:trPr>
          <w:trHeight w:val="300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27E" w:rsidRPr="00DC7B35" w:rsidRDefault="00B2627E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27E" w:rsidRPr="00DC7B35" w:rsidRDefault="00B2627E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>КФ Возмещения вреда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27E" w:rsidRPr="00DC7B35" w:rsidRDefault="00B2627E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149 776</w:t>
            </w:r>
          </w:p>
        </w:tc>
      </w:tr>
      <w:tr w:rsidR="00B2627E" w:rsidRPr="00DC7B35" w:rsidTr="00DC7B35">
        <w:trPr>
          <w:trHeight w:val="300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27E" w:rsidRPr="00DC7B35" w:rsidRDefault="00B2627E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27E" w:rsidRPr="00DC7B35" w:rsidRDefault="00B2627E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>КФ Обеспечения договорных обязательств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27E" w:rsidRPr="00DC7B35" w:rsidRDefault="00B2627E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463 391</w:t>
            </w:r>
          </w:p>
        </w:tc>
      </w:tr>
      <w:tr w:rsidR="00B2627E" w:rsidRPr="00DC7B35" w:rsidTr="00DC7B35">
        <w:trPr>
          <w:trHeight w:val="255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27E" w:rsidRPr="00DC7B35" w:rsidRDefault="00B2627E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27E" w:rsidRPr="00DC7B35" w:rsidRDefault="00B2627E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27E" w:rsidRPr="00DC7B35" w:rsidRDefault="00B2627E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E" w:rsidRPr="00DC7B35" w:rsidTr="00DC7B35">
        <w:trPr>
          <w:trHeight w:val="300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27E" w:rsidRPr="00DC7B35" w:rsidRDefault="00B2627E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27E" w:rsidRPr="00DC7B35" w:rsidRDefault="00B2627E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27E" w:rsidRPr="00DC7B35" w:rsidRDefault="00B2627E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27E" w:rsidRPr="00DC7B35" w:rsidRDefault="00B2627E" w:rsidP="00DC7B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5A02" w:rsidRPr="00DC7B35" w:rsidRDefault="00C45A02" w:rsidP="00DC7B35">
      <w:pPr>
        <w:pStyle w:val="a3"/>
        <w:keepNext/>
        <w:keepLines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7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Осуществление контроля в Ассоциации за деятельностью своих членов, результативности и эффективности такого контроля</w:t>
      </w:r>
    </w:p>
    <w:p w:rsidR="00C45A02" w:rsidRDefault="00F13A2D" w:rsidP="00DC7B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C7B3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Отчет о контрольных мероприятиях составлен в соответствии с приложением «</w:t>
      </w:r>
      <w:proofErr w:type="gramStart"/>
      <w:r w:rsidRPr="00DC7B3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К»  положения</w:t>
      </w:r>
      <w:proofErr w:type="gramEnd"/>
      <w:r w:rsidRPr="00DC7B3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 Контроле</w:t>
      </w:r>
      <w:r w:rsidR="00A25ADE" w:rsidRPr="00DC7B3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DC7B35" w:rsidRPr="00DC7B35" w:rsidRDefault="00DC7B35" w:rsidP="00DC7B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018"/>
        <w:gridCol w:w="3045"/>
        <w:gridCol w:w="5067"/>
      </w:tblGrid>
      <w:tr w:rsidR="00C45A02" w:rsidRPr="00DC7B35" w:rsidTr="00DC7B35">
        <w:trPr>
          <w:trHeight w:val="20"/>
        </w:trPr>
        <w:tc>
          <w:tcPr>
            <w:tcW w:w="996" w:type="pct"/>
            <w:tcBorders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 раздела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45A02" w:rsidRPr="00DC7B35" w:rsidTr="00DC7B35">
        <w:trPr>
          <w:trHeight w:val="876"/>
        </w:trPr>
        <w:tc>
          <w:tcPr>
            <w:tcW w:w="996" w:type="pct"/>
            <w:vMerge w:val="restart"/>
            <w:tcBorders>
              <w:top w:val="nil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контроля, в том числе система контроля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а) сведения о структуре контрольной комиссии Ассоциации;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Председатель Контрольной </w:t>
            </w:r>
            <w:proofErr w:type="gramStart"/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комиссии  Спешилов</w:t>
            </w:r>
            <w:proofErr w:type="gramEnd"/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Александр Михайлович – директор ООО «Энергия»</w:t>
            </w:r>
          </w:p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Заместители председателя КК:</w:t>
            </w:r>
          </w:p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Мещанинов Артур Всеволодович – генеральный директор АО «МАИРТА»;</w:t>
            </w:r>
          </w:p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Соснин Михаил Иванович- начальник контрольного отдела Ассоциации </w:t>
            </w:r>
          </w:p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Члены КК:</w:t>
            </w:r>
          </w:p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Ильичев Виктор Геннадьевич - генеральный директор ЗАО УК «</w:t>
            </w:r>
            <w:proofErr w:type="spellStart"/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Востсибстрой</w:t>
            </w:r>
            <w:proofErr w:type="spellEnd"/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»; </w:t>
            </w:r>
          </w:p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Михайлов Борис Анатольевич - директор ГБПОУ ИО «Иркутский техникум </w:t>
            </w:r>
            <w:proofErr w:type="spellStart"/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архитертуры</w:t>
            </w:r>
            <w:proofErr w:type="spellEnd"/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строительства»;</w:t>
            </w:r>
          </w:p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Сигал Александр Петрович </w:t>
            </w:r>
            <w:proofErr w:type="gramStart"/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 генеральный</w:t>
            </w:r>
            <w:proofErr w:type="gramEnd"/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директор ЗАО «Восток-Центр»; </w:t>
            </w:r>
          </w:p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Спирин Виктор Михайлович </w:t>
            </w:r>
            <w:proofErr w:type="gramStart"/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 заместитель</w:t>
            </w:r>
            <w:proofErr w:type="gramEnd"/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председателя Общественной палаты Иркутской области; </w:t>
            </w:r>
          </w:p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Ткачев Александр Андреевич -   генеральный директор ОАО ФСК «Новый город»;</w:t>
            </w:r>
          </w:p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Домбровский Александр Лаврентьевич - генеральный директор Ассоциации;</w:t>
            </w:r>
          </w:p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Степанова Инга Юрьевна - главный бухгалтер Ассоциации;</w:t>
            </w:r>
          </w:p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Игнатенков Артем Михайлович </w:t>
            </w:r>
            <w:proofErr w:type="gramStart"/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 начальник</w:t>
            </w:r>
            <w:proofErr w:type="gramEnd"/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квалификационного отдела Ассоциации;</w:t>
            </w:r>
          </w:p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Шерстов Александр Николаевич - ведущий специалист контрольного отдела Ассоциации;</w:t>
            </w:r>
          </w:p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Градобоев</w:t>
            </w:r>
            <w:proofErr w:type="spellEnd"/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Валерий Леонидович - старший специалист контрольного отдела Ассоциации;</w:t>
            </w:r>
          </w:p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Дружинин Виктор Геннадьевич - старший специалист контрольного отдела Ассоциации;</w:t>
            </w:r>
          </w:p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Леонов Валерий Юрьевич -старший специалист контрольного отдела Ассоциации.</w:t>
            </w:r>
          </w:p>
        </w:tc>
      </w:tr>
      <w:tr w:rsidR="00C45A02" w:rsidRPr="00DC7B35" w:rsidTr="00DC7B35">
        <w:trPr>
          <w:trHeight w:val="964"/>
        </w:trPr>
        <w:tc>
          <w:tcPr>
            <w:tcW w:w="996" w:type="pct"/>
            <w:vMerge/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б) перечень и описание функций контрольной комиссии Ассоциации;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Соблюдение членами Ассоциации требований законодательства о градостроительной деятельности.</w:t>
            </w:r>
          </w:p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Соблюдение членами Ассоциации </w:t>
            </w: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требований законодательства о техническом регулировании.</w:t>
            </w:r>
          </w:p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Соблюдение членами Ассоциации требований, установленных в стандартах на процессы выполнения работ по строительству, реконструкции, капитальному ремонту, сносу объектов капитального строительства, утвержденных НОСТРОЙ.</w:t>
            </w:r>
          </w:p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Соблюдение членами Ассоциации требований стандартов Ассоциации, в том числе квалификационных, условий членства в Ассоциации и иных внутренних документов Ассоциации.</w:t>
            </w:r>
          </w:p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 Соблюдение членами Ассоциации соответствия фактического совокупного размера обязательств по договорам строительного подряда, договорам подряда на осуществление сноса, предельному размеру обязательств по договорам строительного подряда, договорам подряда на осуществление сноса,</w:t>
            </w:r>
          </w:p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 Соблюдение членами Ассоциации обязательств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договоров.</w:t>
            </w:r>
          </w:p>
        </w:tc>
      </w:tr>
      <w:tr w:rsidR="00C45A02" w:rsidRPr="00DC7B35" w:rsidTr="00DC7B35">
        <w:trPr>
          <w:trHeight w:val="1720"/>
        </w:trPr>
        <w:tc>
          <w:tcPr>
            <w:tcW w:w="996" w:type="pct"/>
            <w:vMerge/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в) информация о взаимодействии контрольной комиссии Ассоциации с органами государственного контроля (надзора), муниципального контроля, порядке и формах такого взаимодействия.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</w:tcBorders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Выездные проверки совместно со Службой государственного строительного надзора (по возможности)</w:t>
            </w:r>
          </w:p>
        </w:tc>
      </w:tr>
      <w:tr w:rsidR="00C45A02" w:rsidRPr="00DC7B35" w:rsidTr="00DC7B35">
        <w:trPr>
          <w:trHeight w:val="688"/>
        </w:trPr>
        <w:tc>
          <w:tcPr>
            <w:tcW w:w="996" w:type="pct"/>
            <w:vMerge w:val="restart"/>
            <w:tcBorders>
              <w:top w:val="nil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Кадровое обеспечение контроля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сведения о составе контрольной комиссии Ассоциации;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</w:tcBorders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 контрольной комиссии 15 человек, в том числе 7 сотрудников исполнительной дирекции</w:t>
            </w:r>
          </w:p>
        </w:tc>
      </w:tr>
      <w:tr w:rsidR="00C45A02" w:rsidRPr="00DC7B35" w:rsidTr="00DC7B35">
        <w:trPr>
          <w:trHeight w:val="1490"/>
        </w:trPr>
        <w:tc>
          <w:tcPr>
            <w:tcW w:w="996" w:type="pct"/>
            <w:vMerge/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сведения о специализированных организациях (специалистах), привлекаемых к проведению проверок по гражданско-правовым договорам, 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привлекались</w:t>
            </w:r>
          </w:p>
        </w:tc>
      </w:tr>
      <w:tr w:rsidR="00C45A02" w:rsidRPr="00DC7B35" w:rsidTr="00DC7B35">
        <w:trPr>
          <w:trHeight w:val="1227"/>
        </w:trPr>
        <w:tc>
          <w:tcPr>
            <w:tcW w:w="996" w:type="pct"/>
            <w:vMerge/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общая численность проверяющих, сведения о их квалификации, о </w:t>
            </w: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мероприятиях по повышению их квалификации; 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Контрольный отдел в составе 5 человек. Образование высшее техническое, стаж работы в строительстве не менее 17 лет.</w:t>
            </w:r>
          </w:p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Сотрудники контрольного отдела </w:t>
            </w: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проходят повышение квалификации 1 раз в пять лет. </w:t>
            </w:r>
          </w:p>
        </w:tc>
      </w:tr>
      <w:tr w:rsidR="00C45A02" w:rsidRPr="00DC7B35" w:rsidTr="00DC7B35">
        <w:trPr>
          <w:trHeight w:val="1233"/>
        </w:trPr>
        <w:tc>
          <w:tcPr>
            <w:tcW w:w="996" w:type="pct"/>
            <w:vMerge/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данные о средней нагрузке на одного проверяющего по фактически выполненному за отчетный период объему работы по контролю 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</w:tcBorders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</w:t>
            </w:r>
          </w:p>
        </w:tc>
      </w:tr>
      <w:tr w:rsidR="00C45A02" w:rsidRPr="00DC7B35" w:rsidTr="00DC7B35">
        <w:trPr>
          <w:trHeight w:val="400"/>
        </w:trPr>
        <w:tc>
          <w:tcPr>
            <w:tcW w:w="996" w:type="pct"/>
            <w:vMerge w:val="restart"/>
            <w:tcBorders>
              <w:top w:val="nil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контроля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а) общее количество проверок,</w:t>
            </w:r>
          </w:p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 количество: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</w:tcBorders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</w:tr>
      <w:tr w:rsidR="00C45A02" w:rsidRPr="00DC7B35" w:rsidTr="00DC7B35">
        <w:trPr>
          <w:trHeight w:val="363"/>
        </w:trPr>
        <w:tc>
          <w:tcPr>
            <w:tcW w:w="996" w:type="pct"/>
            <w:vMerge/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плановых проверок, 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573. в т.ч. по ОДО 294</w:t>
            </w:r>
          </w:p>
        </w:tc>
      </w:tr>
      <w:tr w:rsidR="00C45A02" w:rsidRPr="00DC7B35" w:rsidTr="00DC7B35">
        <w:trPr>
          <w:trHeight w:val="601"/>
        </w:trPr>
        <w:tc>
          <w:tcPr>
            <w:tcW w:w="996" w:type="pct"/>
            <w:vMerge/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внеплановых проверок (по исполнению предписаний и предупреждений),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167</w:t>
            </w:r>
          </w:p>
        </w:tc>
      </w:tr>
      <w:tr w:rsidR="00C45A02" w:rsidRPr="00DC7B35" w:rsidTr="00DC7B35">
        <w:trPr>
          <w:trHeight w:val="388"/>
        </w:trPr>
        <w:tc>
          <w:tcPr>
            <w:tcW w:w="996" w:type="pct"/>
            <w:vMerge/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первичная проверка (вступление)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</w:tr>
      <w:tr w:rsidR="00C45A02" w:rsidRPr="00DC7B35" w:rsidTr="00DC7B35">
        <w:trPr>
          <w:trHeight w:val="404"/>
        </w:trPr>
        <w:tc>
          <w:tcPr>
            <w:tcW w:w="996" w:type="pct"/>
            <w:vMerge/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внесение изменений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</w:t>
            </w:r>
          </w:p>
        </w:tc>
      </w:tr>
      <w:tr w:rsidR="00C45A02" w:rsidRPr="00DC7B35" w:rsidTr="00DC7B35">
        <w:trPr>
          <w:trHeight w:val="354"/>
        </w:trPr>
        <w:tc>
          <w:tcPr>
            <w:tcW w:w="996" w:type="pct"/>
            <w:vMerge/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документарных 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</w:tr>
      <w:tr w:rsidR="00C45A02" w:rsidRPr="00DC7B35" w:rsidTr="00DC7B35">
        <w:trPr>
          <w:trHeight w:val="512"/>
        </w:trPr>
        <w:tc>
          <w:tcPr>
            <w:tcW w:w="996" w:type="pct"/>
            <w:vMerge/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 xml:space="preserve"> выездных проверок 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C45A02" w:rsidRPr="00DC7B35" w:rsidTr="00DC7B35">
        <w:trPr>
          <w:trHeight w:val="756"/>
        </w:trPr>
        <w:tc>
          <w:tcPr>
            <w:tcW w:w="996" w:type="pct"/>
            <w:vMerge/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б) количество жалоб и обращений на действия членов Ассоциации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Три жалобы</w:t>
            </w:r>
          </w:p>
        </w:tc>
      </w:tr>
      <w:tr w:rsidR="00C45A02" w:rsidRPr="00DC7B35" w:rsidTr="00DC7B35">
        <w:trPr>
          <w:trHeight w:val="3820"/>
        </w:trPr>
        <w:tc>
          <w:tcPr>
            <w:tcW w:w="996" w:type="pct"/>
            <w:vMerge/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в) обобщенные сведения о случаях причинения членами Ассоциации,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о случаях возникновения чрезвычайных ситуаций, аварий на строительных площадках, с указанием количества, размере вреда, </w:t>
            </w: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причинах, результатах расследования</w:t>
            </w:r>
          </w:p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Нет данных</w:t>
            </w:r>
          </w:p>
        </w:tc>
      </w:tr>
      <w:tr w:rsidR="00C45A02" w:rsidRPr="00DC7B35" w:rsidTr="00DC7B35">
        <w:trPr>
          <w:trHeight w:val="2554"/>
        </w:trPr>
        <w:tc>
          <w:tcPr>
            <w:tcW w:w="996" w:type="pct"/>
            <w:vMerge/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г) обобщенные сведения о неисполнении и ненадлежащем исполнении членами Ассоциации договоров строительного подряда, договорам подряда на осуществление сноса, заключенных с использованием конкурентных способов определения подрядчиков, с указанием количества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 данных</w:t>
            </w:r>
          </w:p>
        </w:tc>
      </w:tr>
      <w:tr w:rsidR="00C45A02" w:rsidRPr="00DC7B35" w:rsidTr="00DC7B35">
        <w:trPr>
          <w:trHeight w:val="488"/>
        </w:trPr>
        <w:tc>
          <w:tcPr>
            <w:tcW w:w="996" w:type="pct"/>
            <w:vMerge/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д) </w:t>
            </w:r>
            <w:proofErr w:type="gramStart"/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организации  в</w:t>
            </w:r>
            <w:proofErr w:type="gramEnd"/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отношении которых по результатам проверки не применялись меры дисциплинарного воздействия.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ООО «Иркутская Инженерная Строительная Компания»</w:t>
            </w:r>
          </w:p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ООО «</w:t>
            </w:r>
            <w:proofErr w:type="spellStart"/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Сибна</w:t>
            </w:r>
            <w:proofErr w:type="spellEnd"/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АО «Саянскхимпласт»</w:t>
            </w:r>
          </w:p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АО «Труд»</w:t>
            </w:r>
          </w:p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 ООО «</w:t>
            </w:r>
            <w:proofErr w:type="spellStart"/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Востоктяжстрой</w:t>
            </w:r>
            <w:proofErr w:type="spellEnd"/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Усолье»</w:t>
            </w:r>
          </w:p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 ОГУЭП «</w:t>
            </w:r>
            <w:proofErr w:type="spellStart"/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Облкоммунэнерго</w:t>
            </w:r>
            <w:proofErr w:type="spellEnd"/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 ООО «Региональная Электротехническая Компания»</w:t>
            </w:r>
          </w:p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 ООО «</w:t>
            </w:r>
            <w:proofErr w:type="spellStart"/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УсольеВСЭМкабель</w:t>
            </w:r>
            <w:proofErr w:type="spellEnd"/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 ООО Строительная компания «</w:t>
            </w:r>
            <w:proofErr w:type="spellStart"/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ВостСибСтрой</w:t>
            </w:r>
            <w:proofErr w:type="spellEnd"/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 ООО «</w:t>
            </w:r>
            <w:proofErr w:type="spellStart"/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Черемховпромжилстрой</w:t>
            </w:r>
            <w:proofErr w:type="spellEnd"/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 ООО «</w:t>
            </w:r>
            <w:proofErr w:type="spellStart"/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Иркутскэнергосвязь</w:t>
            </w:r>
            <w:proofErr w:type="spellEnd"/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 ООО «Диалог-Строй»</w:t>
            </w:r>
          </w:p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 ООО ФСК «</w:t>
            </w:r>
            <w:proofErr w:type="spellStart"/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Промстроймонтаж</w:t>
            </w:r>
            <w:proofErr w:type="spellEnd"/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13. ООО «Азия </w:t>
            </w:r>
            <w:proofErr w:type="spellStart"/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Мьюзик</w:t>
            </w:r>
            <w:proofErr w:type="spellEnd"/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Компани»</w:t>
            </w:r>
          </w:p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 ООО «</w:t>
            </w:r>
            <w:proofErr w:type="spellStart"/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БайкалСтройИнвест</w:t>
            </w:r>
            <w:proofErr w:type="spellEnd"/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 ЗАО «</w:t>
            </w:r>
            <w:proofErr w:type="spellStart"/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Спецмонтажремстрой</w:t>
            </w:r>
            <w:proofErr w:type="spellEnd"/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 ООО «Ремонтно-строительное Монтажное Предприятие «ТАНГЕН»</w:t>
            </w:r>
          </w:p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 ООО Ремонтно-строительное предприятие «ТОПКА»</w:t>
            </w:r>
          </w:p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 ЗАО «Стройкомплекс»</w:t>
            </w:r>
          </w:p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 ООО «Ремонтно-строительная компания»</w:t>
            </w:r>
          </w:p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20. ООО «</w:t>
            </w:r>
            <w:proofErr w:type="spellStart"/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ИркутскЛифтСервис</w:t>
            </w:r>
            <w:proofErr w:type="spellEnd"/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 ООО «КСИ-СТРОЙ»</w:t>
            </w:r>
          </w:p>
        </w:tc>
      </w:tr>
      <w:tr w:rsidR="00C45A02" w:rsidRPr="00DC7B35" w:rsidTr="00DC7B35">
        <w:trPr>
          <w:trHeight w:val="1289"/>
        </w:trPr>
        <w:tc>
          <w:tcPr>
            <w:tcW w:w="996" w:type="pct"/>
            <w:vMerge w:val="restart"/>
            <w:tcBorders>
              <w:top w:val="nil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Действия Ассоциации по применению мер дисциплинарного воздействия по результатам контроля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а) обобщенные сведения о применении Ассоциацией по фактам выявленных нарушений мер дисциплинарного воздействия, в том числе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</w:tcBorders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45A02" w:rsidRPr="00DC7B35" w:rsidTr="00DC7B35">
        <w:trPr>
          <w:trHeight w:val="413"/>
        </w:trPr>
        <w:tc>
          <w:tcPr>
            <w:tcW w:w="996" w:type="pct"/>
            <w:vMerge/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-предписание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</w:t>
            </w:r>
          </w:p>
        </w:tc>
      </w:tr>
      <w:tr w:rsidR="00C45A02" w:rsidRPr="00DC7B35" w:rsidTr="00DC7B35">
        <w:trPr>
          <w:trHeight w:val="363"/>
        </w:trPr>
        <w:tc>
          <w:tcPr>
            <w:tcW w:w="996" w:type="pct"/>
            <w:vMerge/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предупреждение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</w:t>
            </w:r>
          </w:p>
        </w:tc>
      </w:tr>
      <w:tr w:rsidR="00C45A02" w:rsidRPr="00DC7B35" w:rsidTr="00DC7B35">
        <w:trPr>
          <w:trHeight w:val="388"/>
        </w:trPr>
        <w:tc>
          <w:tcPr>
            <w:tcW w:w="996" w:type="pct"/>
            <w:vMerge/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-штраф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C45A02" w:rsidRPr="00DC7B35" w:rsidTr="00DC7B35">
        <w:trPr>
          <w:trHeight w:val="388"/>
        </w:trPr>
        <w:tc>
          <w:tcPr>
            <w:tcW w:w="996" w:type="pct"/>
            <w:vMerge/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-приостановка права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</w:t>
            </w:r>
          </w:p>
        </w:tc>
      </w:tr>
      <w:tr w:rsidR="00C45A02" w:rsidRPr="00DC7B35" w:rsidTr="00DC7B35">
        <w:trPr>
          <w:trHeight w:val="438"/>
        </w:trPr>
        <w:tc>
          <w:tcPr>
            <w:tcW w:w="996" w:type="pct"/>
            <w:vMerge/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-исключение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C45A02" w:rsidRPr="00DC7B35" w:rsidTr="00DC7B35">
        <w:trPr>
          <w:trHeight w:val="1502"/>
        </w:trPr>
        <w:tc>
          <w:tcPr>
            <w:tcW w:w="996" w:type="pct"/>
            <w:vMerge/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в) сведения об обжаловании членами Ассоциации оснований и результатов проведения в отношении их мероприятий по контролю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C45A02" w:rsidRPr="00DC7B35" w:rsidTr="00DC7B35">
        <w:trPr>
          <w:trHeight w:val="20"/>
        </w:trPr>
        <w:tc>
          <w:tcPr>
            <w:tcW w:w="996" w:type="pct"/>
            <w:tcBorders>
              <w:top w:val="nil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результативности и эффективности контроля</w:t>
            </w:r>
          </w:p>
        </w:tc>
        <w:tc>
          <w:tcPr>
            <w:tcW w:w="1503" w:type="pct"/>
            <w:tcBorders>
              <w:top w:val="nil"/>
              <w:left w:val="nil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 результативности и эффективности контроля, а также данные оценки указанных показателей</w:t>
            </w:r>
          </w:p>
        </w:tc>
        <w:tc>
          <w:tcPr>
            <w:tcW w:w="2501" w:type="pct"/>
            <w:tcBorders>
              <w:top w:val="nil"/>
              <w:left w:val="nil"/>
            </w:tcBorders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45A02" w:rsidRPr="00DC7B35" w:rsidTr="00DC7B35">
        <w:trPr>
          <w:trHeight w:val="1465"/>
        </w:trPr>
        <w:tc>
          <w:tcPr>
            <w:tcW w:w="996" w:type="pct"/>
            <w:vMerge w:val="restart"/>
            <w:tcBorders>
              <w:top w:val="nil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Обобщенные выводы и предложения по результатам контроля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а) выводы и предложения по результатам осуществления контроля, в том числе планируемые показатели его эффективности;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</w:tcBorders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45A02" w:rsidRPr="00DC7B35" w:rsidTr="00DC7B35">
        <w:trPr>
          <w:trHeight w:val="1670"/>
        </w:trPr>
        <w:tc>
          <w:tcPr>
            <w:tcW w:w="996" w:type="pct"/>
            <w:vMerge/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б) предложения по совершенствованию нормативно-правового регулирования и осуществления контроля по отдельным предметам контроля и видам проверок, по взаимодействию с органами государственной власти;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45A02" w:rsidRPr="00DC7B35" w:rsidTr="00DC7B35">
        <w:trPr>
          <w:trHeight w:val="5071"/>
        </w:trPr>
        <w:tc>
          <w:tcPr>
            <w:tcW w:w="996" w:type="pct"/>
            <w:vMerge/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в) выводы и предложения по действиям Ассоциацией по предупреждению нарушений обязательных требований и (или) устранению последствий таких нарушений, </w:t>
            </w:r>
          </w:p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г) иные предложения, связанные с осуществлением контроля и </w:t>
            </w:r>
            <w:proofErr w:type="gramStart"/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направленные на повышение его эффективности</w:t>
            </w:r>
            <w:proofErr w:type="gramEnd"/>
            <w:r w:rsidRPr="00DC7B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сокращение административных ограничений в предпринимательской деятельности, касающихся деятельности Ассоциации по контролю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</w:tcBorders>
          </w:tcPr>
          <w:p w:rsidR="00C45A02" w:rsidRPr="00DC7B35" w:rsidRDefault="00C45A02" w:rsidP="00DC7B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E2BD9" w:rsidRPr="00DC7B35" w:rsidRDefault="00DE2BD9" w:rsidP="00DC7B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1DB" w:rsidRPr="00DC7B35" w:rsidRDefault="00F13A2D" w:rsidP="00DC7B35">
      <w:pPr>
        <w:pStyle w:val="1"/>
        <w:spacing w:before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bookmarkStart w:id="0" w:name="_Toc508633184"/>
      <w:bookmarkStart w:id="1" w:name="_Toc508633088"/>
      <w:proofErr w:type="gramStart"/>
      <w:r w:rsidRPr="00DC7B35">
        <w:rPr>
          <w:rFonts w:ascii="Times New Roman" w:hAnsi="Times New Roman"/>
          <w:color w:val="auto"/>
          <w:sz w:val="24"/>
          <w:szCs w:val="24"/>
        </w:rPr>
        <w:t>В  соответствии</w:t>
      </w:r>
      <w:proofErr w:type="gramEnd"/>
      <w:r w:rsidRPr="00DC7B35">
        <w:rPr>
          <w:rFonts w:ascii="Times New Roman" w:hAnsi="Times New Roman"/>
          <w:color w:val="auto"/>
          <w:sz w:val="24"/>
          <w:szCs w:val="24"/>
        </w:rPr>
        <w:t xml:space="preserve"> с п</w:t>
      </w:r>
      <w:r w:rsidR="001B11DB" w:rsidRPr="00DC7B35">
        <w:rPr>
          <w:rFonts w:ascii="Times New Roman" w:hAnsi="Times New Roman"/>
          <w:color w:val="auto"/>
          <w:sz w:val="24"/>
          <w:szCs w:val="24"/>
        </w:rPr>
        <w:t>риложение</w:t>
      </w:r>
      <w:r w:rsidRPr="00DC7B35">
        <w:rPr>
          <w:rFonts w:ascii="Times New Roman" w:hAnsi="Times New Roman"/>
          <w:color w:val="auto"/>
          <w:sz w:val="24"/>
          <w:szCs w:val="24"/>
        </w:rPr>
        <w:t>м</w:t>
      </w:r>
      <w:r w:rsidR="001B11DB" w:rsidRPr="00DC7B35">
        <w:rPr>
          <w:rFonts w:ascii="Times New Roman" w:hAnsi="Times New Roman"/>
          <w:color w:val="auto"/>
          <w:sz w:val="24"/>
          <w:szCs w:val="24"/>
        </w:rPr>
        <w:t xml:space="preserve"> И</w:t>
      </w:r>
      <w:r w:rsidRPr="00DC7B35">
        <w:rPr>
          <w:rFonts w:ascii="Times New Roman" w:hAnsi="Times New Roman"/>
          <w:color w:val="auto"/>
          <w:sz w:val="24"/>
          <w:szCs w:val="24"/>
        </w:rPr>
        <w:t xml:space="preserve">  положения  о  Контроле,</w:t>
      </w:r>
      <w:r w:rsidRPr="00DC7B35">
        <w:rPr>
          <w:rFonts w:ascii="Times New Roman" w:hAnsi="Times New Roman"/>
          <w:color w:val="auto"/>
          <w:sz w:val="24"/>
          <w:szCs w:val="24"/>
        </w:rPr>
        <w:br/>
        <w:t>по  результатам</w:t>
      </w:r>
      <w:r w:rsidR="001B11DB" w:rsidRPr="00DC7B35">
        <w:rPr>
          <w:rFonts w:ascii="Times New Roman" w:hAnsi="Times New Roman"/>
          <w:color w:val="auto"/>
          <w:sz w:val="24"/>
          <w:szCs w:val="24"/>
        </w:rPr>
        <w:t xml:space="preserve"> опроса о результативности и эффективности контроля в Ассоциации</w:t>
      </w:r>
      <w:bookmarkEnd w:id="0"/>
      <w:bookmarkEnd w:id="1"/>
      <w:r w:rsidR="001B11DB" w:rsidRPr="00DC7B3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C7B35">
        <w:rPr>
          <w:rFonts w:ascii="Times New Roman" w:hAnsi="Times New Roman"/>
          <w:color w:val="auto"/>
          <w:sz w:val="24"/>
          <w:szCs w:val="24"/>
        </w:rPr>
        <w:t>получены следующие данные:</w:t>
      </w:r>
    </w:p>
    <w:p w:rsidR="00F13A2D" w:rsidRPr="00DC7B35" w:rsidRDefault="00F13A2D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3A2D" w:rsidRPr="00DC7B35" w:rsidRDefault="00F13A2D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B35">
        <w:rPr>
          <w:rFonts w:ascii="Times New Roman" w:hAnsi="Times New Roman" w:cs="Times New Roman"/>
          <w:sz w:val="24"/>
          <w:szCs w:val="24"/>
        </w:rPr>
        <w:t>В  опросе</w:t>
      </w:r>
      <w:proofErr w:type="gramEnd"/>
      <w:r w:rsidRPr="00DC7B35">
        <w:rPr>
          <w:rFonts w:ascii="Times New Roman" w:hAnsi="Times New Roman" w:cs="Times New Roman"/>
          <w:sz w:val="24"/>
          <w:szCs w:val="24"/>
        </w:rPr>
        <w:t xml:space="preserve"> принимали участие: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108"/>
        <w:gridCol w:w="5014"/>
      </w:tblGrid>
      <w:tr w:rsidR="001B11DB" w:rsidRPr="00DC7B35" w:rsidTr="00DC7B35">
        <w:trPr>
          <w:trHeight w:val="480"/>
        </w:trPr>
        <w:tc>
          <w:tcPr>
            <w:tcW w:w="2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1DB" w:rsidRPr="00DC7B35" w:rsidRDefault="001B11DB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1DB" w:rsidRPr="00DC7B35" w:rsidRDefault="001B11DB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474" w:rsidRPr="00DC7B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1DB" w:rsidRPr="00DC7B35" w:rsidTr="00DC7B35">
        <w:trPr>
          <w:trHeight w:val="480"/>
        </w:trPr>
        <w:tc>
          <w:tcPr>
            <w:tcW w:w="252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1DB" w:rsidRPr="00DC7B35" w:rsidRDefault="001B11DB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1DB" w:rsidRPr="00DC7B35" w:rsidRDefault="001B11DB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474" w:rsidRPr="00DC7B3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1B11DB" w:rsidRPr="00DC7B35" w:rsidRDefault="001B11DB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C7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1DB" w:rsidRPr="00DC7B35" w:rsidRDefault="001B11DB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7B35">
        <w:rPr>
          <w:rFonts w:ascii="Times New Roman" w:hAnsi="Times New Roman" w:cs="Times New Roman"/>
          <w:sz w:val="24"/>
          <w:szCs w:val="24"/>
        </w:rPr>
        <w:t>Пе</w:t>
      </w:r>
      <w:r w:rsidR="00F13A2D" w:rsidRPr="00DC7B35">
        <w:rPr>
          <w:rFonts w:ascii="Times New Roman" w:hAnsi="Times New Roman" w:cs="Times New Roman"/>
          <w:sz w:val="24"/>
          <w:szCs w:val="24"/>
        </w:rPr>
        <w:t xml:space="preserve">риод </w:t>
      </w:r>
      <w:r w:rsidRPr="00DC7B35">
        <w:rPr>
          <w:rFonts w:ascii="Times New Roman" w:hAnsi="Times New Roman" w:cs="Times New Roman"/>
          <w:sz w:val="24"/>
          <w:szCs w:val="24"/>
        </w:rPr>
        <w:t xml:space="preserve"> членства</w:t>
      </w:r>
      <w:proofErr w:type="gramEnd"/>
      <w:r w:rsidRPr="00DC7B35">
        <w:rPr>
          <w:rFonts w:ascii="Times New Roman" w:hAnsi="Times New Roman" w:cs="Times New Roman"/>
          <w:sz w:val="24"/>
          <w:szCs w:val="24"/>
        </w:rPr>
        <w:t xml:space="preserve"> в Ассоциации</w:t>
      </w:r>
      <w:r w:rsidR="00F13A2D" w:rsidRPr="00DC7B35">
        <w:rPr>
          <w:rFonts w:ascii="Times New Roman" w:hAnsi="Times New Roman" w:cs="Times New Roman"/>
          <w:sz w:val="24"/>
          <w:szCs w:val="24"/>
        </w:rPr>
        <w:t xml:space="preserve"> участвующих в опросе </w:t>
      </w:r>
      <w:r w:rsidRPr="00DC7B35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1B11DB" w:rsidRPr="00DC7B35" w:rsidRDefault="001B11DB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051"/>
        <w:gridCol w:w="5071"/>
      </w:tblGrid>
      <w:tr w:rsidR="001B11DB" w:rsidRPr="00DC7B35" w:rsidTr="00DC7B35">
        <w:trPr>
          <w:trHeight w:val="480"/>
        </w:trPr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1DB" w:rsidRPr="00DC7B35" w:rsidRDefault="001B11DB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>До одного года</w:t>
            </w:r>
          </w:p>
        </w:tc>
        <w:tc>
          <w:tcPr>
            <w:tcW w:w="250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1DB" w:rsidRPr="00DC7B35" w:rsidRDefault="001B11DB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474" w:rsidRPr="00DC7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11DB" w:rsidRPr="00DC7B35" w:rsidTr="00DC7B35">
        <w:trPr>
          <w:trHeight w:val="480"/>
        </w:trPr>
        <w:tc>
          <w:tcPr>
            <w:tcW w:w="2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1DB" w:rsidRPr="00DC7B35" w:rsidRDefault="001B11DB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1DB" w:rsidRPr="00DC7B35" w:rsidRDefault="001B11DB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474" w:rsidRPr="00DC7B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11DB" w:rsidRPr="00DC7B35" w:rsidTr="00DC7B35">
        <w:trPr>
          <w:trHeight w:val="480"/>
        </w:trPr>
        <w:tc>
          <w:tcPr>
            <w:tcW w:w="2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1DB" w:rsidRPr="00DC7B35" w:rsidRDefault="001B11DB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>До пяти лет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1DB" w:rsidRPr="00DC7B35" w:rsidRDefault="001B11DB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474" w:rsidRPr="00DC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1DB" w:rsidRPr="00DC7B35" w:rsidTr="00DC7B35">
        <w:trPr>
          <w:trHeight w:val="480"/>
        </w:trPr>
        <w:tc>
          <w:tcPr>
            <w:tcW w:w="2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1DB" w:rsidRPr="00DC7B35" w:rsidRDefault="001B11DB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>Свыше пяти лет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1DB" w:rsidRPr="00DC7B35" w:rsidRDefault="001B11DB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474" w:rsidRPr="00DC7B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1B11DB" w:rsidRPr="00DC7B35" w:rsidRDefault="001B11DB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C7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1DB" w:rsidRPr="00DC7B35" w:rsidRDefault="001B11DB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>Оцените по 9-балльной шкале:</w:t>
      </w:r>
    </w:p>
    <w:p w:rsidR="001B11DB" w:rsidRPr="00DC7B35" w:rsidRDefault="001B11DB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>а) Согласны ли Вы, что контроль Ассоциации положительно влияет на хозяйственную деятельность Вашей организации, где 1 - полностью не согласен, а 9 - полностью согласен.</w:t>
      </w:r>
    </w:p>
    <w:tbl>
      <w:tblPr>
        <w:tblW w:w="175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</w:tblGrid>
      <w:tr w:rsidR="001B11DB" w:rsidRPr="00DC7B35" w:rsidTr="001B11DB">
        <w:trPr>
          <w:trHeight w:val="48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1DB" w:rsidRPr="00DC7B35" w:rsidRDefault="001B11DB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3D2" w:rsidRPr="00DC7B35">
              <w:rPr>
                <w:rFonts w:ascii="Times New Roman" w:hAnsi="Times New Roman" w:cs="Times New Roman"/>
                <w:sz w:val="24"/>
                <w:szCs w:val="24"/>
              </w:rPr>
              <w:t>7.54</w:t>
            </w:r>
          </w:p>
        </w:tc>
      </w:tr>
    </w:tbl>
    <w:p w:rsidR="001B11DB" w:rsidRPr="00DC7B35" w:rsidRDefault="001B11DB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C7B3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B11DB" w:rsidRPr="00DC7B35" w:rsidRDefault="001B11DB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>б) Согласны ли Вы, что действия Ассоциации по контролю положительно сказались на снижении административных барьеров за предшествующий период, где 1 - полностью не согласен, а 9 - полностью согласен.</w:t>
      </w:r>
    </w:p>
    <w:tbl>
      <w:tblPr>
        <w:tblW w:w="175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</w:tblGrid>
      <w:tr w:rsidR="001B11DB" w:rsidRPr="00DC7B35" w:rsidTr="001B11DB">
        <w:trPr>
          <w:trHeight w:val="48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1DB" w:rsidRPr="00DC7B35" w:rsidRDefault="001B11DB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3D2" w:rsidRPr="00DC7B35">
              <w:rPr>
                <w:rFonts w:ascii="Times New Roman" w:hAnsi="Times New Roman" w:cs="Times New Roman"/>
                <w:sz w:val="24"/>
                <w:szCs w:val="24"/>
              </w:rPr>
              <w:t>6.73</w:t>
            </w:r>
          </w:p>
        </w:tc>
      </w:tr>
    </w:tbl>
    <w:p w:rsidR="001B11DB" w:rsidRPr="00DC7B35" w:rsidRDefault="001B11DB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C7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1DB" w:rsidRPr="00DC7B35" w:rsidRDefault="001B11DB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>г) Согласны ли Вы, что действия Ассоциации по контролю способствуют:</w:t>
      </w:r>
    </w:p>
    <w:p w:rsidR="001B11DB" w:rsidRPr="00DC7B35" w:rsidRDefault="001B11DB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>, где 1 - полностью не согласен, а 9 - полностью согласен:</w:t>
      </w:r>
    </w:p>
    <w:p w:rsidR="001B11DB" w:rsidRPr="00DC7B35" w:rsidRDefault="001B11DB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>предупреждению причинения вреда вследствие недостатков работ по строительству, реконструкции и капитальному ремонту объектов капитального строительства и которые выполняются членами Ассоциации;</w:t>
      </w:r>
    </w:p>
    <w:tbl>
      <w:tblPr>
        <w:tblW w:w="190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5"/>
      </w:tblGrid>
      <w:tr w:rsidR="001B11DB" w:rsidRPr="00DC7B35" w:rsidTr="001B11DB">
        <w:trPr>
          <w:trHeight w:val="480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1DB" w:rsidRPr="00DC7B35" w:rsidRDefault="001B11DB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3D2" w:rsidRPr="00DC7B35">
              <w:rPr>
                <w:rFonts w:ascii="Times New Roman" w:hAnsi="Times New Roman" w:cs="Times New Roman"/>
                <w:sz w:val="24"/>
                <w:szCs w:val="24"/>
              </w:rPr>
              <w:t>7.39</w:t>
            </w:r>
          </w:p>
        </w:tc>
      </w:tr>
    </w:tbl>
    <w:p w:rsidR="001B11DB" w:rsidRPr="00DC7B35" w:rsidRDefault="001B11DB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C7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1DB" w:rsidRPr="00DC7B35" w:rsidRDefault="001B11DB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>повышению качества строительства, реконструкции, капитального ремонта объектов капитального строительства;</w:t>
      </w:r>
    </w:p>
    <w:tbl>
      <w:tblPr>
        <w:tblW w:w="190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5"/>
      </w:tblGrid>
      <w:tr w:rsidR="001B11DB" w:rsidRPr="00DC7B35" w:rsidTr="001B11DB">
        <w:trPr>
          <w:trHeight w:val="480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1DB" w:rsidRPr="00DC7B35" w:rsidRDefault="001B11DB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3D2" w:rsidRPr="00DC7B35">
              <w:rPr>
                <w:rFonts w:ascii="Times New Roman" w:hAnsi="Times New Roman" w:cs="Times New Roman"/>
                <w:sz w:val="24"/>
                <w:szCs w:val="24"/>
              </w:rPr>
              <w:t>7.46</w:t>
            </w:r>
          </w:p>
        </w:tc>
      </w:tr>
    </w:tbl>
    <w:p w:rsidR="001B11DB" w:rsidRPr="00DC7B35" w:rsidRDefault="001B11DB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C7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1DB" w:rsidRPr="00DC7B35" w:rsidRDefault="001B11DB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>обеспечению исполнения членами Ассоциации обязательств по договорам строительного подряда, заключенным с использованием конкурентных способов определения поставщиков (подрядчиков, исполнителей).</w:t>
      </w:r>
    </w:p>
    <w:tbl>
      <w:tblPr>
        <w:tblW w:w="190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5"/>
      </w:tblGrid>
      <w:tr w:rsidR="001B11DB" w:rsidRPr="00DC7B35" w:rsidTr="001B11DB">
        <w:trPr>
          <w:trHeight w:val="480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1DB" w:rsidRPr="00DC7B35" w:rsidRDefault="001B11DB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3D2" w:rsidRPr="00DC7B3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</w:tbl>
    <w:p w:rsidR="001B11DB" w:rsidRPr="00DC7B35" w:rsidRDefault="001B11DB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C7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1DB" w:rsidRPr="00DC7B35" w:rsidRDefault="001B11DB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>д) Ваш уровень информированности об обязательных требованиях Ассоциации и Ваша готовность их соблюдать добровольно, где 1 – не знаю о требованиях и не готов их соблюдать добровольно, 9 – прекрасно осведомлен о требованиях и стремлюсь их соблюдать добровольно</w:t>
      </w:r>
    </w:p>
    <w:tbl>
      <w:tblPr>
        <w:tblW w:w="190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5"/>
      </w:tblGrid>
      <w:tr w:rsidR="001B11DB" w:rsidRPr="00DC7B35" w:rsidTr="001B11DB">
        <w:trPr>
          <w:trHeight w:val="480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1DB" w:rsidRPr="00DC7B35" w:rsidRDefault="001B11DB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3D2" w:rsidRPr="00DC7B35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</w:tr>
    </w:tbl>
    <w:p w:rsidR="001B11DB" w:rsidRPr="00DC7B35" w:rsidRDefault="001B11DB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C7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1DB" w:rsidRPr="00DC7B35" w:rsidRDefault="001B11DB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>е) Качество реализации своих обязанностей членами контрольной комиссии Ассоциации, где 1 - крайне плохо, а 9 - отлично.</w:t>
      </w:r>
    </w:p>
    <w:p w:rsidR="001B11DB" w:rsidRPr="00DC7B35" w:rsidRDefault="001B11DB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75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</w:tblGrid>
      <w:tr w:rsidR="001B11DB" w:rsidRPr="00DC7B35" w:rsidTr="001B11DB">
        <w:trPr>
          <w:trHeight w:val="48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1DB" w:rsidRPr="00DC7B35" w:rsidRDefault="001B11DB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3D2" w:rsidRPr="00DC7B35">
              <w:rPr>
                <w:rFonts w:ascii="Times New Roman" w:hAnsi="Times New Roman" w:cs="Times New Roman"/>
                <w:sz w:val="24"/>
                <w:szCs w:val="24"/>
              </w:rPr>
              <w:t>8.41</w:t>
            </w:r>
          </w:p>
        </w:tc>
      </w:tr>
    </w:tbl>
    <w:p w:rsidR="001B11DB" w:rsidRPr="00DC7B35" w:rsidRDefault="001B11DB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C7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1DB" w:rsidRPr="00DC7B35" w:rsidRDefault="001B11DB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>ж) Уровень квалификации членов контрольной комиссии Ассоциации, где 1 - недостаточно квалифицированные, а 9 - высококвалифицированные.</w:t>
      </w:r>
    </w:p>
    <w:tbl>
      <w:tblPr>
        <w:tblW w:w="175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</w:tblGrid>
      <w:tr w:rsidR="001B11DB" w:rsidRPr="00DC7B35" w:rsidTr="001B11DB">
        <w:trPr>
          <w:trHeight w:val="48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1DB" w:rsidRPr="00DC7B35" w:rsidRDefault="001B11DB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3D2" w:rsidRPr="00DC7B35">
              <w:rPr>
                <w:rFonts w:ascii="Times New Roman" w:hAnsi="Times New Roman" w:cs="Times New Roman"/>
                <w:sz w:val="24"/>
                <w:szCs w:val="24"/>
              </w:rPr>
              <w:t>8.63</w:t>
            </w:r>
          </w:p>
        </w:tc>
      </w:tr>
    </w:tbl>
    <w:p w:rsidR="001B11DB" w:rsidRPr="00DC7B35" w:rsidRDefault="001B11DB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C7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1DB" w:rsidRPr="00DC7B35" w:rsidRDefault="001B11DB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>з) Уровень практической пользы для Вашей организации от контрольных мероприятий Ассоциации, где 1 – полное отсутствие практической пользы, 9 – контроль Ассоциации весьма полезен для деятельности предприятия</w:t>
      </w:r>
    </w:p>
    <w:tbl>
      <w:tblPr>
        <w:tblW w:w="175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</w:tblGrid>
      <w:tr w:rsidR="001B11DB" w:rsidRPr="00DC7B35" w:rsidTr="001B11DB">
        <w:trPr>
          <w:trHeight w:val="48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1DB" w:rsidRPr="00DC7B35" w:rsidRDefault="001B11DB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3D2" w:rsidRPr="00DC7B35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</w:tr>
    </w:tbl>
    <w:p w:rsidR="001B11DB" w:rsidRPr="00DC7B35" w:rsidRDefault="001B11DB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C7B3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B11DB" w:rsidRPr="00DC7B35" w:rsidRDefault="001B11DB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>2. Что на Ваш взгляд необходимо улучшить в работе контрольной комиссии Ассоциации для повышения эффективности работы?</w:t>
      </w:r>
    </w:p>
    <w:p w:rsidR="001B11DB" w:rsidRPr="00DC7B35" w:rsidRDefault="001B11DB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 xml:space="preserve"> </w:t>
      </w:r>
      <w:r w:rsidR="009A0D4D" w:rsidRPr="00DC7B35">
        <w:rPr>
          <w:rFonts w:ascii="Times New Roman" w:hAnsi="Times New Roman" w:cs="Times New Roman"/>
          <w:sz w:val="24"/>
          <w:szCs w:val="24"/>
        </w:rPr>
        <w:t>Поступили следующие замечания и предложения: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122"/>
      </w:tblGrid>
      <w:tr w:rsidR="001B11DB" w:rsidRPr="00DC7B35" w:rsidTr="00DC7B35">
        <w:trPr>
          <w:trHeight w:val="1580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D4D" w:rsidRPr="00DC7B35" w:rsidRDefault="009A0D4D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DC7B35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конкурс на лучшую организацию в области охраны труда среди членов СРО, входящих в Ассоциацию. Проводить выездные тематические семинары по вопросам охраны труда.</w:t>
            </w:r>
          </w:p>
          <w:p w:rsidR="009A0D4D" w:rsidRPr="00DC7B35" w:rsidRDefault="009A0D4D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>Обеспечить рассылку информации о новых изменениях в законодательстве, связанных со строительной деятельностью, о новых требованиях к строительным организациям. Периодически организовывать вебинары по актуальным вопросам.</w:t>
            </w:r>
          </w:p>
          <w:p w:rsidR="009A0D4D" w:rsidRPr="00DC7B35" w:rsidRDefault="009A0D4D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Организовывать выезды комплексной контрольной комиссии на конкретные объекты строительства в "продвинутые" организации для изучения позитивных методов управления и доведение информации до всех членов Ассоциации. 2. Проводить ежеквартальный/полугодовой анализ результатов контрольных проверок, отражая положительные и отрицательные моменты. </w:t>
            </w:r>
            <w:proofErr w:type="spellStart"/>
            <w:r w:rsidRPr="00DC7B35">
              <w:rPr>
                <w:rFonts w:ascii="Times New Roman" w:hAnsi="Times New Roman" w:cs="Times New Roman"/>
                <w:sz w:val="24"/>
                <w:szCs w:val="24"/>
              </w:rPr>
              <w:t>Доволить</w:t>
            </w:r>
            <w:proofErr w:type="spellEnd"/>
            <w:r w:rsidRPr="00DC7B3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до членов Ассоциации путем организации системных семинаров/технических учеб либо отражать результаты на сайте ассоциации</w:t>
            </w:r>
          </w:p>
          <w:p w:rsidR="009A0D4D" w:rsidRPr="00DC7B35" w:rsidRDefault="009A0D4D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>Заставлять устранять мелкие недостатки во время проверки</w:t>
            </w:r>
          </w:p>
          <w:p w:rsidR="009A0D4D" w:rsidRPr="00DC7B35" w:rsidRDefault="009A0D4D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информирование о случаях </w:t>
            </w:r>
            <w:proofErr w:type="spellStart"/>
            <w:r w:rsidRPr="00DC7B35">
              <w:rPr>
                <w:rFonts w:ascii="Times New Roman" w:hAnsi="Times New Roman" w:cs="Times New Roman"/>
                <w:sz w:val="24"/>
                <w:szCs w:val="24"/>
              </w:rPr>
              <w:t>возникновенния</w:t>
            </w:r>
            <w:proofErr w:type="spellEnd"/>
            <w:r w:rsidRPr="00DC7B35">
              <w:rPr>
                <w:rFonts w:ascii="Times New Roman" w:hAnsi="Times New Roman" w:cs="Times New Roman"/>
                <w:sz w:val="24"/>
                <w:szCs w:val="24"/>
              </w:rPr>
              <w:t xml:space="preserve"> компенсируемых нарушений и вызвавших эти нарушения причинах, без указания имён и названий, в виде акцентирования внимания с профилактической целью.</w:t>
            </w:r>
          </w:p>
          <w:p w:rsidR="009A0D4D" w:rsidRPr="00DC7B35" w:rsidRDefault="009A0D4D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>Поменьше требований. Больше практической помощи.</w:t>
            </w:r>
          </w:p>
          <w:p w:rsidR="009A0D4D" w:rsidRPr="00DC7B35" w:rsidRDefault="009A0D4D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>Обеспечить рассылку информации о новых изменениях в законодательстве, связанных со строительной деятельностью, о новых требованиях к строительным организациям. Периодически организовывать вебинары по актуальным вопросам.</w:t>
            </w:r>
          </w:p>
          <w:p w:rsidR="001B11DB" w:rsidRPr="00DC7B35" w:rsidRDefault="001B11DB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1DB" w:rsidRPr="00DC7B35" w:rsidRDefault="001B11DB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1DB" w:rsidRPr="00DC7B35" w:rsidRDefault="001B11DB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1DB" w:rsidRPr="00DC7B35" w:rsidRDefault="001B11DB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1DB" w:rsidRPr="00DC7B35" w:rsidRDefault="001B11DB" w:rsidP="00DC7B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C7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2"/>
    </w:tbl>
    <w:p w:rsidR="001B11DB" w:rsidRPr="00DC7B35" w:rsidRDefault="001B11DB" w:rsidP="00DC7B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1856" w:rsidRPr="00DC7B35" w:rsidRDefault="00061856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44D" w:rsidRPr="00DC7B35" w:rsidRDefault="009B644D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B35">
        <w:rPr>
          <w:rFonts w:ascii="Times New Roman" w:hAnsi="Times New Roman" w:cs="Times New Roman"/>
          <w:b/>
          <w:sz w:val="24"/>
          <w:szCs w:val="24"/>
        </w:rPr>
        <w:t>Краткий отчёт о работе квалификационного отдела</w:t>
      </w:r>
    </w:p>
    <w:p w:rsidR="009B644D" w:rsidRPr="00DC7B35" w:rsidRDefault="009B644D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B35">
        <w:rPr>
          <w:rFonts w:ascii="Times New Roman" w:hAnsi="Times New Roman" w:cs="Times New Roman"/>
          <w:b/>
          <w:sz w:val="24"/>
          <w:szCs w:val="24"/>
        </w:rPr>
        <w:t xml:space="preserve"> Ассоциации РООР СРОСБР за 2018г.</w:t>
      </w:r>
    </w:p>
    <w:p w:rsidR="009B644D" w:rsidRPr="00DC7B35" w:rsidRDefault="009B644D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44D" w:rsidRPr="00DC7B35" w:rsidRDefault="009B644D" w:rsidP="00DC7B35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7B35">
        <w:rPr>
          <w:rFonts w:ascii="Times New Roman" w:eastAsia="Calibri" w:hAnsi="Times New Roman" w:cs="Times New Roman"/>
          <w:b/>
          <w:sz w:val="24"/>
          <w:szCs w:val="24"/>
        </w:rPr>
        <w:t xml:space="preserve">Национальный реестр </w:t>
      </w:r>
      <w:proofErr w:type="gramStart"/>
      <w:r w:rsidRPr="00DC7B35">
        <w:rPr>
          <w:rFonts w:ascii="Times New Roman" w:eastAsia="Calibri" w:hAnsi="Times New Roman" w:cs="Times New Roman"/>
          <w:b/>
          <w:sz w:val="24"/>
          <w:szCs w:val="24"/>
        </w:rPr>
        <w:t>специалистов  в</w:t>
      </w:r>
      <w:proofErr w:type="gramEnd"/>
      <w:r w:rsidRPr="00DC7B35">
        <w:rPr>
          <w:rFonts w:ascii="Times New Roman" w:eastAsia="Calibri" w:hAnsi="Times New Roman" w:cs="Times New Roman"/>
          <w:b/>
          <w:sz w:val="24"/>
          <w:szCs w:val="24"/>
        </w:rPr>
        <w:t xml:space="preserve"> области строительства.</w:t>
      </w:r>
    </w:p>
    <w:p w:rsidR="009B644D" w:rsidRPr="00DC7B35" w:rsidRDefault="009B644D" w:rsidP="00DC7B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7B35">
        <w:rPr>
          <w:rFonts w:ascii="Times New Roman" w:eastAsia="Calibri" w:hAnsi="Times New Roman" w:cs="Times New Roman"/>
          <w:sz w:val="24"/>
          <w:szCs w:val="24"/>
        </w:rPr>
        <w:t xml:space="preserve">За отчетный год 892 </w:t>
      </w:r>
      <w:proofErr w:type="gramStart"/>
      <w:r w:rsidRPr="00DC7B35">
        <w:rPr>
          <w:rFonts w:ascii="Times New Roman" w:eastAsia="Calibri" w:hAnsi="Times New Roman" w:cs="Times New Roman"/>
          <w:sz w:val="24"/>
          <w:szCs w:val="24"/>
        </w:rPr>
        <w:t>специалиста  включены</w:t>
      </w:r>
      <w:proofErr w:type="gramEnd"/>
      <w:r w:rsidRPr="00DC7B35">
        <w:rPr>
          <w:rFonts w:ascii="Times New Roman" w:eastAsia="Calibri" w:hAnsi="Times New Roman" w:cs="Times New Roman"/>
          <w:sz w:val="24"/>
          <w:szCs w:val="24"/>
        </w:rPr>
        <w:t xml:space="preserve">  в Национальный  Реестр Специалистов по  строительству. Всего подано 932 заявления. </w:t>
      </w:r>
      <w:proofErr w:type="gramStart"/>
      <w:r w:rsidRPr="00DC7B35">
        <w:rPr>
          <w:rFonts w:ascii="Times New Roman" w:eastAsia="Calibri" w:hAnsi="Times New Roman" w:cs="Times New Roman"/>
          <w:sz w:val="24"/>
          <w:szCs w:val="24"/>
        </w:rPr>
        <w:t>Остальные  заявления</w:t>
      </w:r>
      <w:proofErr w:type="gramEnd"/>
      <w:r w:rsidRPr="00DC7B35">
        <w:rPr>
          <w:rFonts w:ascii="Times New Roman" w:eastAsia="Calibri" w:hAnsi="Times New Roman" w:cs="Times New Roman"/>
          <w:sz w:val="24"/>
          <w:szCs w:val="24"/>
        </w:rPr>
        <w:t xml:space="preserve">  в настоящее время  в работе.</w:t>
      </w:r>
    </w:p>
    <w:p w:rsidR="009B644D" w:rsidRPr="00DC7B35" w:rsidRDefault="009B644D" w:rsidP="00DC7B35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7B35">
        <w:rPr>
          <w:rFonts w:ascii="Times New Roman" w:eastAsia="Calibri" w:hAnsi="Times New Roman" w:cs="Times New Roman"/>
          <w:b/>
          <w:sz w:val="24"/>
          <w:szCs w:val="24"/>
        </w:rPr>
        <w:t xml:space="preserve">Центр оценки </w:t>
      </w:r>
      <w:proofErr w:type="gramStart"/>
      <w:r w:rsidRPr="00DC7B35">
        <w:rPr>
          <w:rFonts w:ascii="Times New Roman" w:eastAsia="Calibri" w:hAnsi="Times New Roman" w:cs="Times New Roman"/>
          <w:b/>
          <w:sz w:val="24"/>
          <w:szCs w:val="24"/>
        </w:rPr>
        <w:t>квалификации  АНО</w:t>
      </w:r>
      <w:proofErr w:type="gramEnd"/>
      <w:r w:rsidRPr="00DC7B35">
        <w:rPr>
          <w:rFonts w:ascii="Times New Roman" w:eastAsia="Calibri" w:hAnsi="Times New Roman" w:cs="Times New Roman"/>
          <w:b/>
          <w:sz w:val="24"/>
          <w:szCs w:val="24"/>
        </w:rPr>
        <w:t xml:space="preserve"> «СБР».</w:t>
      </w:r>
    </w:p>
    <w:p w:rsidR="009B644D" w:rsidRPr="00DC7B35" w:rsidRDefault="009B644D" w:rsidP="00DC7B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B35">
        <w:rPr>
          <w:rFonts w:ascii="Times New Roman" w:eastAsia="Calibri" w:hAnsi="Times New Roman" w:cs="Times New Roman"/>
          <w:sz w:val="24"/>
          <w:szCs w:val="24"/>
        </w:rPr>
        <w:t xml:space="preserve">31 октября 2017 г. зарегистрирован ЦОК АНО «СБР». </w:t>
      </w:r>
      <w:proofErr w:type="gramStart"/>
      <w:r w:rsidRPr="00DC7B35">
        <w:rPr>
          <w:rFonts w:ascii="Times New Roman" w:eastAsia="Calibri" w:hAnsi="Times New Roman" w:cs="Times New Roman"/>
          <w:sz w:val="24"/>
          <w:szCs w:val="24"/>
        </w:rPr>
        <w:t>Присвоен  регистрационный</w:t>
      </w:r>
      <w:proofErr w:type="gramEnd"/>
      <w:r w:rsidRPr="00DC7B35">
        <w:rPr>
          <w:rFonts w:ascii="Times New Roman" w:eastAsia="Calibri" w:hAnsi="Times New Roman" w:cs="Times New Roman"/>
          <w:sz w:val="24"/>
          <w:szCs w:val="24"/>
        </w:rPr>
        <w:t xml:space="preserve"> номер – ЦОК-38.004. </w:t>
      </w:r>
    </w:p>
    <w:p w:rsidR="009B644D" w:rsidRPr="00DC7B35" w:rsidRDefault="009B644D" w:rsidP="00DC7B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B35"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день, при </w:t>
      </w:r>
      <w:proofErr w:type="spellStart"/>
      <w:r w:rsidRPr="00DC7B35">
        <w:rPr>
          <w:rFonts w:ascii="Times New Roman" w:eastAsia="Calibri" w:hAnsi="Times New Roman" w:cs="Times New Roman"/>
          <w:sz w:val="24"/>
          <w:szCs w:val="24"/>
        </w:rPr>
        <w:t>ЦОКе</w:t>
      </w:r>
      <w:proofErr w:type="spellEnd"/>
      <w:r w:rsidRPr="00DC7B35">
        <w:rPr>
          <w:rFonts w:ascii="Times New Roman" w:eastAsia="Calibri" w:hAnsi="Times New Roman" w:cs="Times New Roman"/>
          <w:sz w:val="24"/>
          <w:szCs w:val="24"/>
        </w:rPr>
        <w:t xml:space="preserve"> действуют:  </w:t>
      </w:r>
    </w:p>
    <w:p w:rsidR="009B644D" w:rsidRPr="00DC7B35" w:rsidRDefault="009B644D" w:rsidP="00DC7B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B35">
        <w:rPr>
          <w:rFonts w:ascii="Times New Roman" w:eastAsia="Calibri" w:hAnsi="Times New Roman" w:cs="Times New Roman"/>
          <w:sz w:val="24"/>
          <w:szCs w:val="24"/>
        </w:rPr>
        <w:t xml:space="preserve">2 </w:t>
      </w:r>
      <w:proofErr w:type="gramStart"/>
      <w:r w:rsidRPr="00DC7B35">
        <w:rPr>
          <w:rFonts w:ascii="Times New Roman" w:eastAsia="Calibri" w:hAnsi="Times New Roman" w:cs="Times New Roman"/>
          <w:sz w:val="24"/>
          <w:szCs w:val="24"/>
        </w:rPr>
        <w:t>эксперта  независимой</w:t>
      </w:r>
      <w:proofErr w:type="gramEnd"/>
      <w:r w:rsidRPr="00DC7B35">
        <w:rPr>
          <w:rFonts w:ascii="Times New Roman" w:eastAsia="Calibri" w:hAnsi="Times New Roman" w:cs="Times New Roman"/>
          <w:sz w:val="24"/>
          <w:szCs w:val="24"/>
        </w:rPr>
        <w:t xml:space="preserve"> оценки квалификации  Ассоциации РООР СРОСБР;</w:t>
      </w:r>
    </w:p>
    <w:p w:rsidR="009B644D" w:rsidRPr="00DC7B35" w:rsidRDefault="009B644D" w:rsidP="00DC7B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B35">
        <w:rPr>
          <w:rFonts w:ascii="Times New Roman" w:eastAsia="Calibri" w:hAnsi="Times New Roman" w:cs="Times New Roman"/>
          <w:sz w:val="24"/>
          <w:szCs w:val="24"/>
        </w:rPr>
        <w:t xml:space="preserve">3 </w:t>
      </w:r>
      <w:proofErr w:type="gramStart"/>
      <w:r w:rsidRPr="00DC7B35">
        <w:rPr>
          <w:rFonts w:ascii="Times New Roman" w:eastAsia="Calibri" w:hAnsi="Times New Roman" w:cs="Times New Roman"/>
          <w:sz w:val="24"/>
          <w:szCs w:val="24"/>
        </w:rPr>
        <w:t>экзаменационных  центра</w:t>
      </w:r>
      <w:proofErr w:type="gramEnd"/>
      <w:r w:rsidRPr="00DC7B3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B644D" w:rsidRPr="00DC7B35" w:rsidRDefault="009B644D" w:rsidP="00DC7B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B35">
        <w:rPr>
          <w:rFonts w:ascii="Times New Roman" w:eastAsia="Calibri" w:hAnsi="Times New Roman" w:cs="Times New Roman"/>
          <w:sz w:val="24"/>
          <w:szCs w:val="24"/>
        </w:rPr>
        <w:t xml:space="preserve">2.1.(ГАПОУ ИО «Иркутский </w:t>
      </w:r>
      <w:proofErr w:type="gramStart"/>
      <w:r w:rsidRPr="00DC7B35">
        <w:rPr>
          <w:rFonts w:ascii="Times New Roman" w:eastAsia="Calibri" w:hAnsi="Times New Roman" w:cs="Times New Roman"/>
          <w:sz w:val="24"/>
          <w:szCs w:val="24"/>
        </w:rPr>
        <w:t>техникум  архитектуры</w:t>
      </w:r>
      <w:proofErr w:type="gramEnd"/>
      <w:r w:rsidRPr="00DC7B35">
        <w:rPr>
          <w:rFonts w:ascii="Times New Roman" w:eastAsia="Calibri" w:hAnsi="Times New Roman" w:cs="Times New Roman"/>
          <w:sz w:val="24"/>
          <w:szCs w:val="24"/>
        </w:rPr>
        <w:t xml:space="preserve"> и строительства»», </w:t>
      </w:r>
    </w:p>
    <w:p w:rsidR="009B644D" w:rsidRPr="00DC7B35" w:rsidRDefault="009B644D" w:rsidP="00DC7B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B35">
        <w:rPr>
          <w:rFonts w:ascii="Times New Roman" w:eastAsia="Calibri" w:hAnsi="Times New Roman" w:cs="Times New Roman"/>
          <w:sz w:val="24"/>
          <w:szCs w:val="24"/>
        </w:rPr>
        <w:t>2.</w:t>
      </w:r>
      <w:proofErr w:type="gramStart"/>
      <w:r w:rsidRPr="00DC7B35">
        <w:rPr>
          <w:rFonts w:ascii="Times New Roman" w:eastAsia="Calibri" w:hAnsi="Times New Roman" w:cs="Times New Roman"/>
          <w:sz w:val="24"/>
          <w:szCs w:val="24"/>
        </w:rPr>
        <w:t>2.ГАПОУ</w:t>
      </w:r>
      <w:proofErr w:type="gramEnd"/>
      <w:r w:rsidRPr="00DC7B35">
        <w:rPr>
          <w:rFonts w:ascii="Times New Roman" w:eastAsia="Calibri" w:hAnsi="Times New Roman" w:cs="Times New Roman"/>
          <w:sz w:val="24"/>
          <w:szCs w:val="24"/>
        </w:rPr>
        <w:t xml:space="preserve"> ИО «Ангарский техникум строительных технологий», </w:t>
      </w:r>
    </w:p>
    <w:p w:rsidR="009B644D" w:rsidRPr="00DC7B35" w:rsidRDefault="009B644D" w:rsidP="00DC7B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B35">
        <w:rPr>
          <w:rFonts w:ascii="Times New Roman" w:eastAsia="Calibri" w:hAnsi="Times New Roman" w:cs="Times New Roman"/>
          <w:sz w:val="24"/>
          <w:szCs w:val="24"/>
        </w:rPr>
        <w:t>2.</w:t>
      </w:r>
      <w:proofErr w:type="gramStart"/>
      <w:r w:rsidRPr="00DC7B35">
        <w:rPr>
          <w:rFonts w:ascii="Times New Roman" w:eastAsia="Calibri" w:hAnsi="Times New Roman" w:cs="Times New Roman"/>
          <w:sz w:val="24"/>
          <w:szCs w:val="24"/>
        </w:rPr>
        <w:t>3.ГБПОУ</w:t>
      </w:r>
      <w:proofErr w:type="gramEnd"/>
      <w:r w:rsidRPr="00DC7B35">
        <w:rPr>
          <w:rFonts w:ascii="Times New Roman" w:eastAsia="Calibri" w:hAnsi="Times New Roman" w:cs="Times New Roman"/>
          <w:sz w:val="24"/>
          <w:szCs w:val="24"/>
        </w:rPr>
        <w:t xml:space="preserve"> ИО « Иркутский техникум транспорта и строительства»);</w:t>
      </w:r>
    </w:p>
    <w:p w:rsidR="009B644D" w:rsidRPr="00DC7B35" w:rsidRDefault="009B644D" w:rsidP="00DC7B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B35">
        <w:rPr>
          <w:rFonts w:ascii="Times New Roman" w:eastAsia="Calibri" w:hAnsi="Times New Roman" w:cs="Times New Roman"/>
          <w:sz w:val="24"/>
          <w:szCs w:val="24"/>
        </w:rPr>
        <w:t xml:space="preserve"> В них аккредитовано 18 </w:t>
      </w:r>
      <w:proofErr w:type="gramStart"/>
      <w:r w:rsidRPr="00DC7B35">
        <w:rPr>
          <w:rFonts w:ascii="Times New Roman" w:eastAsia="Calibri" w:hAnsi="Times New Roman" w:cs="Times New Roman"/>
          <w:sz w:val="24"/>
          <w:szCs w:val="24"/>
        </w:rPr>
        <w:t>экспертов  на</w:t>
      </w:r>
      <w:proofErr w:type="gramEnd"/>
      <w:r w:rsidRPr="00DC7B35">
        <w:rPr>
          <w:rFonts w:ascii="Times New Roman" w:eastAsia="Calibri" w:hAnsi="Times New Roman" w:cs="Times New Roman"/>
          <w:sz w:val="24"/>
          <w:szCs w:val="24"/>
        </w:rPr>
        <w:t xml:space="preserve"> 9  квалификаций  (рабочей направленности).</w:t>
      </w:r>
    </w:p>
    <w:p w:rsidR="009B644D" w:rsidRPr="00DC7B35" w:rsidRDefault="009B644D" w:rsidP="00DC7B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B3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За 2018 год проводились </w:t>
      </w:r>
      <w:proofErr w:type="gramStart"/>
      <w:r w:rsidRPr="00DC7B35">
        <w:rPr>
          <w:rFonts w:ascii="Times New Roman" w:eastAsia="Calibri" w:hAnsi="Times New Roman" w:cs="Times New Roman"/>
          <w:sz w:val="24"/>
          <w:szCs w:val="24"/>
        </w:rPr>
        <w:t>мероприятия  на</w:t>
      </w:r>
      <w:proofErr w:type="gramEnd"/>
      <w:r w:rsidRPr="00DC7B35">
        <w:rPr>
          <w:rFonts w:ascii="Times New Roman" w:eastAsia="Calibri" w:hAnsi="Times New Roman" w:cs="Times New Roman"/>
          <w:sz w:val="24"/>
          <w:szCs w:val="24"/>
        </w:rPr>
        <w:t xml:space="preserve"> проведение  проверки соответствия  с  целью прохождения отбора  в качестве ЦОК для  осуществления  деятельности  по независимой оценке  </w:t>
      </w:r>
      <w:r w:rsidRPr="00DC7B35">
        <w:rPr>
          <w:rFonts w:ascii="Times New Roman" w:eastAsia="Calibri" w:hAnsi="Times New Roman" w:cs="Times New Roman"/>
          <w:b/>
          <w:sz w:val="24"/>
          <w:szCs w:val="24"/>
        </w:rPr>
        <w:t>дополнительного перечня</w:t>
      </w:r>
      <w:r w:rsidRPr="00DC7B35">
        <w:rPr>
          <w:rFonts w:ascii="Times New Roman" w:eastAsia="Calibri" w:hAnsi="Times New Roman" w:cs="Times New Roman"/>
          <w:sz w:val="24"/>
          <w:szCs w:val="24"/>
        </w:rPr>
        <w:t xml:space="preserve">  наименований  профессиональных  квалификаций: </w:t>
      </w:r>
      <w:r w:rsidRPr="00DC7B35">
        <w:rPr>
          <w:rFonts w:ascii="Times New Roman" w:eastAsia="Calibri" w:hAnsi="Times New Roman" w:cs="Times New Roman"/>
          <w:sz w:val="24"/>
          <w:szCs w:val="24"/>
        </w:rPr>
        <w:lastRenderedPageBreak/>
        <w:t>«Руководитель строительной  организации», « Специалист по организации строительства». (Организатор строительного производства»).</w:t>
      </w:r>
    </w:p>
    <w:p w:rsidR="009B644D" w:rsidRPr="00DC7B35" w:rsidRDefault="009B644D" w:rsidP="00DC7B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B35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  </w:t>
      </w:r>
      <w:proofErr w:type="gramStart"/>
      <w:r w:rsidRPr="00DC7B35">
        <w:rPr>
          <w:rFonts w:ascii="Times New Roman" w:eastAsia="Calibri" w:hAnsi="Times New Roman" w:cs="Times New Roman"/>
          <w:sz w:val="24"/>
          <w:szCs w:val="24"/>
        </w:rPr>
        <w:t>ведется  работа</w:t>
      </w:r>
      <w:proofErr w:type="gramEnd"/>
      <w:r w:rsidRPr="00DC7B35">
        <w:rPr>
          <w:rFonts w:ascii="Times New Roman" w:eastAsia="Calibri" w:hAnsi="Times New Roman" w:cs="Times New Roman"/>
          <w:sz w:val="24"/>
          <w:szCs w:val="24"/>
        </w:rPr>
        <w:t xml:space="preserve"> по  оформлению деятельности экзаменационного центра  при ЦОК АНО «СБР»,  в соответствии с нормативными документами Совета  по профессиональной  квалификации в строительстве Ассоциации «НОСТРОЙ».</w:t>
      </w:r>
    </w:p>
    <w:p w:rsidR="009B644D" w:rsidRPr="00DC7B35" w:rsidRDefault="009B644D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B35">
        <w:rPr>
          <w:rFonts w:ascii="Times New Roman" w:hAnsi="Times New Roman" w:cs="Times New Roman"/>
          <w:b/>
          <w:sz w:val="24"/>
          <w:szCs w:val="24"/>
        </w:rPr>
        <w:t xml:space="preserve">          3.  </w:t>
      </w:r>
      <w:proofErr w:type="gramStart"/>
      <w:r w:rsidRPr="00DC7B35">
        <w:rPr>
          <w:rFonts w:ascii="Times New Roman" w:hAnsi="Times New Roman" w:cs="Times New Roman"/>
          <w:b/>
          <w:sz w:val="24"/>
          <w:szCs w:val="24"/>
        </w:rPr>
        <w:t>Повышение  квалификации</w:t>
      </w:r>
      <w:proofErr w:type="gramEnd"/>
      <w:r w:rsidRPr="00DC7B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C7B35">
        <w:rPr>
          <w:rFonts w:ascii="Times New Roman" w:hAnsi="Times New Roman" w:cs="Times New Roman"/>
          <w:sz w:val="24"/>
          <w:szCs w:val="24"/>
        </w:rPr>
        <w:t>Ассоциация сотрудничает со следующими вузами:</w:t>
      </w:r>
    </w:p>
    <w:p w:rsidR="009B644D" w:rsidRPr="00DC7B35" w:rsidRDefault="009B644D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B35">
        <w:rPr>
          <w:rFonts w:ascii="Times New Roman" w:hAnsi="Times New Roman" w:cs="Times New Roman"/>
          <w:sz w:val="24"/>
          <w:szCs w:val="24"/>
        </w:rPr>
        <w:t>3.1  ФГБОУ</w:t>
      </w:r>
      <w:proofErr w:type="gramEnd"/>
      <w:r w:rsidRPr="00DC7B35">
        <w:rPr>
          <w:rFonts w:ascii="Times New Roman" w:hAnsi="Times New Roman" w:cs="Times New Roman"/>
          <w:sz w:val="24"/>
          <w:szCs w:val="24"/>
        </w:rPr>
        <w:t xml:space="preserve"> ВО «ИРНИТУ»   (Федеральное государственное бюджетное образовательное учреждение высшего  образования  «Иркутский национальный исследовательский технический университет»)</w:t>
      </w:r>
    </w:p>
    <w:p w:rsidR="009B644D" w:rsidRPr="00DC7B35" w:rsidRDefault="009B644D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>3.2 ФГБОУ ВО «</w:t>
      </w:r>
      <w:proofErr w:type="spellStart"/>
      <w:proofErr w:type="gramStart"/>
      <w:r w:rsidRPr="00DC7B35">
        <w:rPr>
          <w:rFonts w:ascii="Times New Roman" w:hAnsi="Times New Roman" w:cs="Times New Roman"/>
          <w:sz w:val="24"/>
          <w:szCs w:val="24"/>
        </w:rPr>
        <w:t>БрГУ</w:t>
      </w:r>
      <w:proofErr w:type="spellEnd"/>
      <w:r w:rsidRPr="00DC7B35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DC7B35">
        <w:rPr>
          <w:rFonts w:ascii="Times New Roman" w:hAnsi="Times New Roman" w:cs="Times New Roman"/>
          <w:sz w:val="24"/>
          <w:szCs w:val="24"/>
        </w:rPr>
        <w:t>(Федеральное государственное бюджетное  образовательное учреждение высшего  образования «Братский государственный университет»)</w:t>
      </w:r>
    </w:p>
    <w:p w:rsidR="009B644D" w:rsidRPr="00DC7B35" w:rsidRDefault="009B644D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>3.3 ФГБОУ ВО «</w:t>
      </w:r>
      <w:proofErr w:type="spellStart"/>
      <w:proofErr w:type="gramStart"/>
      <w:r w:rsidRPr="00DC7B35">
        <w:rPr>
          <w:rFonts w:ascii="Times New Roman" w:hAnsi="Times New Roman" w:cs="Times New Roman"/>
          <w:sz w:val="24"/>
          <w:szCs w:val="24"/>
        </w:rPr>
        <w:t>АнГТУ</w:t>
      </w:r>
      <w:proofErr w:type="spellEnd"/>
      <w:r w:rsidRPr="00DC7B35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DC7B35">
        <w:rPr>
          <w:rFonts w:ascii="Times New Roman" w:hAnsi="Times New Roman" w:cs="Times New Roman"/>
          <w:sz w:val="24"/>
          <w:szCs w:val="24"/>
        </w:rPr>
        <w:t>(Федеральное государственное бюджетное образовательное учреждение высшего  образования  «Ангарский государственный технический университет»)</w:t>
      </w:r>
    </w:p>
    <w:p w:rsidR="009B644D" w:rsidRPr="00DC7B35" w:rsidRDefault="009B644D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>3.4 АНО «</w:t>
      </w:r>
      <w:proofErr w:type="gramStart"/>
      <w:r w:rsidRPr="00DC7B35">
        <w:rPr>
          <w:rFonts w:ascii="Times New Roman" w:hAnsi="Times New Roman" w:cs="Times New Roman"/>
          <w:sz w:val="24"/>
          <w:szCs w:val="24"/>
        </w:rPr>
        <w:t xml:space="preserve">МИПКИ»   </w:t>
      </w:r>
      <w:proofErr w:type="gramEnd"/>
      <w:r w:rsidRPr="00DC7B35">
        <w:rPr>
          <w:rFonts w:ascii="Times New Roman" w:hAnsi="Times New Roman" w:cs="Times New Roman"/>
          <w:sz w:val="24"/>
          <w:szCs w:val="24"/>
        </w:rPr>
        <w:t>(Автономная некоммерческая организация  дополнительного профессионального образования «Межотраслевой  институт подготовки кадров и информации»).</w:t>
      </w:r>
    </w:p>
    <w:p w:rsidR="009B644D" w:rsidRPr="00DC7B35" w:rsidRDefault="009B644D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C7B35">
        <w:rPr>
          <w:rFonts w:ascii="Times New Roman" w:hAnsi="Times New Roman" w:cs="Times New Roman"/>
          <w:sz w:val="24"/>
          <w:szCs w:val="24"/>
        </w:rPr>
        <w:t>Наша компания оказывает услуги по оперативному повышению квалификации специалистов по различным программам</w:t>
      </w:r>
      <w:r w:rsidRPr="00DC7B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C7B35">
        <w:rPr>
          <w:rFonts w:ascii="Times New Roman" w:hAnsi="Times New Roman" w:cs="Times New Roman"/>
          <w:sz w:val="24"/>
          <w:szCs w:val="24"/>
        </w:rPr>
        <w:t xml:space="preserve">В 2018г.  было проведено </w:t>
      </w:r>
      <w:proofErr w:type="gramStart"/>
      <w:r w:rsidRPr="00DC7B35">
        <w:rPr>
          <w:rFonts w:ascii="Times New Roman" w:hAnsi="Times New Roman" w:cs="Times New Roman"/>
          <w:sz w:val="24"/>
          <w:szCs w:val="24"/>
        </w:rPr>
        <w:t>обучение  и</w:t>
      </w:r>
      <w:proofErr w:type="gramEnd"/>
      <w:r w:rsidRPr="00DC7B35">
        <w:rPr>
          <w:rFonts w:ascii="Times New Roman" w:hAnsi="Times New Roman" w:cs="Times New Roman"/>
          <w:sz w:val="24"/>
          <w:szCs w:val="24"/>
        </w:rPr>
        <w:t xml:space="preserve"> выданы удостоверения  о повышении квалификации 68 специалистам.</w:t>
      </w:r>
    </w:p>
    <w:p w:rsidR="009B644D" w:rsidRPr="00DC7B35" w:rsidRDefault="009B644D" w:rsidP="00DC7B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35">
        <w:rPr>
          <w:rFonts w:ascii="Times New Roman" w:hAnsi="Times New Roman" w:cs="Times New Roman"/>
          <w:b/>
          <w:sz w:val="24"/>
          <w:szCs w:val="24"/>
        </w:rPr>
        <w:t xml:space="preserve">         5. Аттестация специалистов. </w:t>
      </w:r>
      <w:r w:rsidRPr="00DC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Ассоциация РООР </w:t>
      </w:r>
      <w:proofErr w:type="gramStart"/>
      <w:r w:rsidRPr="00DC7B3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СРОСБР  продолжает</w:t>
      </w:r>
      <w:proofErr w:type="gramEnd"/>
      <w:r w:rsidRPr="00DC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по совершенствованию программ тестирования, самих тестов, стало более доступно само прохождение   аттестации в Аттестационном  Центре при АНО СБР в связи с удобным графиком работы.</w:t>
      </w:r>
    </w:p>
    <w:p w:rsidR="009B644D" w:rsidRPr="00DC7B35" w:rsidRDefault="009B644D" w:rsidP="00DC7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35">
        <w:rPr>
          <w:rFonts w:ascii="Times New Roman" w:hAnsi="Times New Roman" w:cs="Times New Roman"/>
          <w:sz w:val="24"/>
          <w:szCs w:val="24"/>
        </w:rPr>
        <w:t xml:space="preserve">         За 2018 </w:t>
      </w:r>
      <w:proofErr w:type="gramStart"/>
      <w:r w:rsidRPr="00DC7B35">
        <w:rPr>
          <w:rFonts w:ascii="Times New Roman" w:hAnsi="Times New Roman" w:cs="Times New Roman"/>
          <w:sz w:val="24"/>
          <w:szCs w:val="24"/>
        </w:rPr>
        <w:t>год  Аттестационной</w:t>
      </w:r>
      <w:proofErr w:type="gramEnd"/>
      <w:r w:rsidRPr="00DC7B35">
        <w:rPr>
          <w:rFonts w:ascii="Times New Roman" w:hAnsi="Times New Roman" w:cs="Times New Roman"/>
          <w:sz w:val="24"/>
          <w:szCs w:val="24"/>
        </w:rPr>
        <w:t xml:space="preserve"> комиссией  при Ассоциации РООР «СРОСБР» было  аттестовано 53 специалиста.</w:t>
      </w:r>
    </w:p>
    <w:p w:rsidR="009B644D" w:rsidRPr="00DC7B35" w:rsidRDefault="009B644D" w:rsidP="00DC7B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B644D" w:rsidRPr="00DC7B35" w:rsidSect="00DC7B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3125"/>
    <w:multiLevelType w:val="hybridMultilevel"/>
    <w:tmpl w:val="1FAC6364"/>
    <w:lvl w:ilvl="0" w:tplc="845E9D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422EB"/>
    <w:multiLevelType w:val="hybridMultilevel"/>
    <w:tmpl w:val="80BE64EC"/>
    <w:lvl w:ilvl="0" w:tplc="25D01524">
      <w:start w:val="3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469B7292"/>
    <w:multiLevelType w:val="hybridMultilevel"/>
    <w:tmpl w:val="475E6A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C729D"/>
    <w:multiLevelType w:val="hybridMultilevel"/>
    <w:tmpl w:val="E74CE0D8"/>
    <w:lvl w:ilvl="0" w:tplc="33FEF1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4CF818EF"/>
    <w:multiLevelType w:val="hybridMultilevel"/>
    <w:tmpl w:val="9A66DD42"/>
    <w:lvl w:ilvl="0" w:tplc="B6403C9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FF91A5C"/>
    <w:multiLevelType w:val="hybridMultilevel"/>
    <w:tmpl w:val="FC529644"/>
    <w:lvl w:ilvl="0" w:tplc="845E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B5373"/>
    <w:multiLevelType w:val="hybridMultilevel"/>
    <w:tmpl w:val="76CCC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18C"/>
    <w:rsid w:val="00000C40"/>
    <w:rsid w:val="00000E63"/>
    <w:rsid w:val="000025DF"/>
    <w:rsid w:val="00003C08"/>
    <w:rsid w:val="00005AD9"/>
    <w:rsid w:val="00006CDA"/>
    <w:rsid w:val="000279D1"/>
    <w:rsid w:val="00035C01"/>
    <w:rsid w:val="00047804"/>
    <w:rsid w:val="000504B1"/>
    <w:rsid w:val="00051CA3"/>
    <w:rsid w:val="00053F48"/>
    <w:rsid w:val="00054680"/>
    <w:rsid w:val="00061856"/>
    <w:rsid w:val="00062555"/>
    <w:rsid w:val="00071937"/>
    <w:rsid w:val="00080454"/>
    <w:rsid w:val="00080902"/>
    <w:rsid w:val="000843AD"/>
    <w:rsid w:val="0008617F"/>
    <w:rsid w:val="000A32DB"/>
    <w:rsid w:val="000A59BC"/>
    <w:rsid w:val="000B0CAE"/>
    <w:rsid w:val="000B0F60"/>
    <w:rsid w:val="000B4ECF"/>
    <w:rsid w:val="000D08E9"/>
    <w:rsid w:val="000E6E20"/>
    <w:rsid w:val="000F7298"/>
    <w:rsid w:val="001022EE"/>
    <w:rsid w:val="00103400"/>
    <w:rsid w:val="001060C8"/>
    <w:rsid w:val="00113201"/>
    <w:rsid w:val="001137A5"/>
    <w:rsid w:val="00113EE6"/>
    <w:rsid w:val="00116660"/>
    <w:rsid w:val="001252A0"/>
    <w:rsid w:val="00126BF1"/>
    <w:rsid w:val="001303AD"/>
    <w:rsid w:val="001310F6"/>
    <w:rsid w:val="00132869"/>
    <w:rsid w:val="00136F42"/>
    <w:rsid w:val="00137656"/>
    <w:rsid w:val="00144B62"/>
    <w:rsid w:val="00147F73"/>
    <w:rsid w:val="001548F8"/>
    <w:rsid w:val="00160028"/>
    <w:rsid w:val="00160E2B"/>
    <w:rsid w:val="001610FC"/>
    <w:rsid w:val="00161D57"/>
    <w:rsid w:val="00167336"/>
    <w:rsid w:val="00181035"/>
    <w:rsid w:val="001903C6"/>
    <w:rsid w:val="00190537"/>
    <w:rsid w:val="001911FF"/>
    <w:rsid w:val="00192B36"/>
    <w:rsid w:val="00194751"/>
    <w:rsid w:val="001A15D8"/>
    <w:rsid w:val="001B11DB"/>
    <w:rsid w:val="001B1D33"/>
    <w:rsid w:val="001B45C3"/>
    <w:rsid w:val="001C224E"/>
    <w:rsid w:val="001C699B"/>
    <w:rsid w:val="001E0367"/>
    <w:rsid w:val="001E1B7E"/>
    <w:rsid w:val="001E2684"/>
    <w:rsid w:val="0020399B"/>
    <w:rsid w:val="00204E0C"/>
    <w:rsid w:val="00207EC4"/>
    <w:rsid w:val="0021020F"/>
    <w:rsid w:val="002120B0"/>
    <w:rsid w:val="00217A4A"/>
    <w:rsid w:val="00221630"/>
    <w:rsid w:val="0023290C"/>
    <w:rsid w:val="00234486"/>
    <w:rsid w:val="0023495A"/>
    <w:rsid w:val="00236D69"/>
    <w:rsid w:val="0023790A"/>
    <w:rsid w:val="00240177"/>
    <w:rsid w:val="00241197"/>
    <w:rsid w:val="00243191"/>
    <w:rsid w:val="002475E5"/>
    <w:rsid w:val="00247A29"/>
    <w:rsid w:val="0025789D"/>
    <w:rsid w:val="00260089"/>
    <w:rsid w:val="002664CC"/>
    <w:rsid w:val="002673F1"/>
    <w:rsid w:val="0027171D"/>
    <w:rsid w:val="00271991"/>
    <w:rsid w:val="0028064A"/>
    <w:rsid w:val="00285D8D"/>
    <w:rsid w:val="00290CB5"/>
    <w:rsid w:val="00290CF6"/>
    <w:rsid w:val="002A200A"/>
    <w:rsid w:val="002A747E"/>
    <w:rsid w:val="002A77C0"/>
    <w:rsid w:val="002B0AE8"/>
    <w:rsid w:val="002B17E2"/>
    <w:rsid w:val="002C1D70"/>
    <w:rsid w:val="002D446F"/>
    <w:rsid w:val="002F6290"/>
    <w:rsid w:val="003012E3"/>
    <w:rsid w:val="00303BCD"/>
    <w:rsid w:val="0031286B"/>
    <w:rsid w:val="00314AF6"/>
    <w:rsid w:val="003153E4"/>
    <w:rsid w:val="00320CCB"/>
    <w:rsid w:val="003245A2"/>
    <w:rsid w:val="00324F32"/>
    <w:rsid w:val="003264F0"/>
    <w:rsid w:val="00332122"/>
    <w:rsid w:val="003327C8"/>
    <w:rsid w:val="00334232"/>
    <w:rsid w:val="0034405A"/>
    <w:rsid w:val="00344A0C"/>
    <w:rsid w:val="003509D9"/>
    <w:rsid w:val="00351F87"/>
    <w:rsid w:val="00354732"/>
    <w:rsid w:val="00354E1D"/>
    <w:rsid w:val="00355D75"/>
    <w:rsid w:val="00361D8D"/>
    <w:rsid w:val="00361EA8"/>
    <w:rsid w:val="00374BEF"/>
    <w:rsid w:val="00376DEB"/>
    <w:rsid w:val="003837D5"/>
    <w:rsid w:val="00395BD2"/>
    <w:rsid w:val="00397E3C"/>
    <w:rsid w:val="003A07E5"/>
    <w:rsid w:val="003A1524"/>
    <w:rsid w:val="003A3310"/>
    <w:rsid w:val="003A45FD"/>
    <w:rsid w:val="003B6472"/>
    <w:rsid w:val="003C10E9"/>
    <w:rsid w:val="003C22BA"/>
    <w:rsid w:val="003C2A84"/>
    <w:rsid w:val="003C5B53"/>
    <w:rsid w:val="003C6B85"/>
    <w:rsid w:val="003C7F47"/>
    <w:rsid w:val="003D2666"/>
    <w:rsid w:val="003D70A6"/>
    <w:rsid w:val="003D79AD"/>
    <w:rsid w:val="003D7CC5"/>
    <w:rsid w:val="003E3E5B"/>
    <w:rsid w:val="003E5D7F"/>
    <w:rsid w:val="003F1D82"/>
    <w:rsid w:val="003F705B"/>
    <w:rsid w:val="004001A6"/>
    <w:rsid w:val="004318C0"/>
    <w:rsid w:val="00433F2B"/>
    <w:rsid w:val="00434194"/>
    <w:rsid w:val="0043483E"/>
    <w:rsid w:val="00436DC0"/>
    <w:rsid w:val="00437138"/>
    <w:rsid w:val="00441524"/>
    <w:rsid w:val="00442D41"/>
    <w:rsid w:val="00445D20"/>
    <w:rsid w:val="00447416"/>
    <w:rsid w:val="00457BDA"/>
    <w:rsid w:val="00460A56"/>
    <w:rsid w:val="00462B42"/>
    <w:rsid w:val="00463186"/>
    <w:rsid w:val="00487279"/>
    <w:rsid w:val="00491F1E"/>
    <w:rsid w:val="004922C8"/>
    <w:rsid w:val="004932FC"/>
    <w:rsid w:val="004A3CD6"/>
    <w:rsid w:val="004B0DBE"/>
    <w:rsid w:val="004B31AD"/>
    <w:rsid w:val="004C016D"/>
    <w:rsid w:val="004C1F7B"/>
    <w:rsid w:val="004D79C8"/>
    <w:rsid w:val="004E59E9"/>
    <w:rsid w:val="004E60F5"/>
    <w:rsid w:val="004F0A33"/>
    <w:rsid w:val="004F5748"/>
    <w:rsid w:val="00500376"/>
    <w:rsid w:val="00506A3F"/>
    <w:rsid w:val="00507804"/>
    <w:rsid w:val="005227D1"/>
    <w:rsid w:val="00523F8D"/>
    <w:rsid w:val="005256BE"/>
    <w:rsid w:val="00525AED"/>
    <w:rsid w:val="00525CFA"/>
    <w:rsid w:val="0053284E"/>
    <w:rsid w:val="00540F12"/>
    <w:rsid w:val="005434E8"/>
    <w:rsid w:val="00553521"/>
    <w:rsid w:val="00555FBF"/>
    <w:rsid w:val="0057549F"/>
    <w:rsid w:val="005770DB"/>
    <w:rsid w:val="00590AEA"/>
    <w:rsid w:val="0059518C"/>
    <w:rsid w:val="00595CCD"/>
    <w:rsid w:val="005A088A"/>
    <w:rsid w:val="005A440C"/>
    <w:rsid w:val="005B0994"/>
    <w:rsid w:val="005B16B9"/>
    <w:rsid w:val="005B2500"/>
    <w:rsid w:val="005B5844"/>
    <w:rsid w:val="005B704C"/>
    <w:rsid w:val="005C2B54"/>
    <w:rsid w:val="005C57FD"/>
    <w:rsid w:val="005D3D3F"/>
    <w:rsid w:val="005D6ADE"/>
    <w:rsid w:val="005D6F87"/>
    <w:rsid w:val="005D75AA"/>
    <w:rsid w:val="005E5245"/>
    <w:rsid w:val="005E5651"/>
    <w:rsid w:val="005F0CB1"/>
    <w:rsid w:val="005F29C3"/>
    <w:rsid w:val="005F38E1"/>
    <w:rsid w:val="005F5BD1"/>
    <w:rsid w:val="00601BF7"/>
    <w:rsid w:val="006039D0"/>
    <w:rsid w:val="00603A7B"/>
    <w:rsid w:val="00605CC5"/>
    <w:rsid w:val="00611439"/>
    <w:rsid w:val="00612FEE"/>
    <w:rsid w:val="00620779"/>
    <w:rsid w:val="00622C76"/>
    <w:rsid w:val="006268E7"/>
    <w:rsid w:val="00626AF3"/>
    <w:rsid w:val="006330E9"/>
    <w:rsid w:val="00637FD3"/>
    <w:rsid w:val="0064554D"/>
    <w:rsid w:val="00647F6C"/>
    <w:rsid w:val="006528F2"/>
    <w:rsid w:val="006557D4"/>
    <w:rsid w:val="006573BC"/>
    <w:rsid w:val="006605C3"/>
    <w:rsid w:val="00674C73"/>
    <w:rsid w:val="00674F12"/>
    <w:rsid w:val="00675BC1"/>
    <w:rsid w:val="00676238"/>
    <w:rsid w:val="0067785D"/>
    <w:rsid w:val="0069647C"/>
    <w:rsid w:val="0069774D"/>
    <w:rsid w:val="006A2C04"/>
    <w:rsid w:val="006A5E89"/>
    <w:rsid w:val="006C1038"/>
    <w:rsid w:val="006D2ADF"/>
    <w:rsid w:val="006D5279"/>
    <w:rsid w:val="006D715B"/>
    <w:rsid w:val="006F6F95"/>
    <w:rsid w:val="007049A4"/>
    <w:rsid w:val="0070754D"/>
    <w:rsid w:val="00710142"/>
    <w:rsid w:val="00716F4F"/>
    <w:rsid w:val="00722CA6"/>
    <w:rsid w:val="0072332B"/>
    <w:rsid w:val="0072343B"/>
    <w:rsid w:val="00724B74"/>
    <w:rsid w:val="00724BC3"/>
    <w:rsid w:val="00732012"/>
    <w:rsid w:val="0073490C"/>
    <w:rsid w:val="007514D5"/>
    <w:rsid w:val="00757AA1"/>
    <w:rsid w:val="00761DAC"/>
    <w:rsid w:val="00765D0E"/>
    <w:rsid w:val="00773940"/>
    <w:rsid w:val="00774946"/>
    <w:rsid w:val="0077774E"/>
    <w:rsid w:val="007807E5"/>
    <w:rsid w:val="00781705"/>
    <w:rsid w:val="00782EC8"/>
    <w:rsid w:val="00784E92"/>
    <w:rsid w:val="00790256"/>
    <w:rsid w:val="00791E11"/>
    <w:rsid w:val="00796BD5"/>
    <w:rsid w:val="007A11BC"/>
    <w:rsid w:val="007A2E08"/>
    <w:rsid w:val="007A5B8B"/>
    <w:rsid w:val="007B455C"/>
    <w:rsid w:val="007B585A"/>
    <w:rsid w:val="007C18F2"/>
    <w:rsid w:val="007C70FE"/>
    <w:rsid w:val="007D2C54"/>
    <w:rsid w:val="007D7F0E"/>
    <w:rsid w:val="007E1385"/>
    <w:rsid w:val="007E6A96"/>
    <w:rsid w:val="007F336A"/>
    <w:rsid w:val="007F3AA8"/>
    <w:rsid w:val="007F7C76"/>
    <w:rsid w:val="008166A7"/>
    <w:rsid w:val="00820DE8"/>
    <w:rsid w:val="0082156B"/>
    <w:rsid w:val="00827701"/>
    <w:rsid w:val="00834AAA"/>
    <w:rsid w:val="00842864"/>
    <w:rsid w:val="00843C97"/>
    <w:rsid w:val="00850984"/>
    <w:rsid w:val="00851923"/>
    <w:rsid w:val="0085532D"/>
    <w:rsid w:val="00864E2B"/>
    <w:rsid w:val="00865821"/>
    <w:rsid w:val="00877172"/>
    <w:rsid w:val="00881CE3"/>
    <w:rsid w:val="00885AA8"/>
    <w:rsid w:val="00892523"/>
    <w:rsid w:val="00894A1E"/>
    <w:rsid w:val="00897B37"/>
    <w:rsid w:val="008A3D0D"/>
    <w:rsid w:val="008A5CAC"/>
    <w:rsid w:val="008B7476"/>
    <w:rsid w:val="008C3D1B"/>
    <w:rsid w:val="008C4257"/>
    <w:rsid w:val="008C6881"/>
    <w:rsid w:val="008D5938"/>
    <w:rsid w:val="008E0D93"/>
    <w:rsid w:val="008F1DE8"/>
    <w:rsid w:val="008F2B16"/>
    <w:rsid w:val="008F2CFE"/>
    <w:rsid w:val="008F5F4C"/>
    <w:rsid w:val="0090100C"/>
    <w:rsid w:val="009028C9"/>
    <w:rsid w:val="00906C52"/>
    <w:rsid w:val="00907DEC"/>
    <w:rsid w:val="00910AF9"/>
    <w:rsid w:val="009115D0"/>
    <w:rsid w:val="0091292D"/>
    <w:rsid w:val="00915D9F"/>
    <w:rsid w:val="009308C2"/>
    <w:rsid w:val="00936B4F"/>
    <w:rsid w:val="00936C04"/>
    <w:rsid w:val="009371E3"/>
    <w:rsid w:val="009401D5"/>
    <w:rsid w:val="00947BA6"/>
    <w:rsid w:val="00960CB5"/>
    <w:rsid w:val="00961EF6"/>
    <w:rsid w:val="009660CA"/>
    <w:rsid w:val="009662A3"/>
    <w:rsid w:val="00974160"/>
    <w:rsid w:val="00975530"/>
    <w:rsid w:val="00976767"/>
    <w:rsid w:val="00976C30"/>
    <w:rsid w:val="00977A53"/>
    <w:rsid w:val="00982DDF"/>
    <w:rsid w:val="00992730"/>
    <w:rsid w:val="009970BE"/>
    <w:rsid w:val="009A0D4D"/>
    <w:rsid w:val="009A1B74"/>
    <w:rsid w:val="009A48B2"/>
    <w:rsid w:val="009B0251"/>
    <w:rsid w:val="009B0E18"/>
    <w:rsid w:val="009B401F"/>
    <w:rsid w:val="009B60F2"/>
    <w:rsid w:val="009B644D"/>
    <w:rsid w:val="009B7205"/>
    <w:rsid w:val="009C1569"/>
    <w:rsid w:val="009D07B2"/>
    <w:rsid w:val="009D1968"/>
    <w:rsid w:val="009E4C26"/>
    <w:rsid w:val="009E575B"/>
    <w:rsid w:val="009E7457"/>
    <w:rsid w:val="009F4EFA"/>
    <w:rsid w:val="009F5112"/>
    <w:rsid w:val="00A001B4"/>
    <w:rsid w:val="00A01B82"/>
    <w:rsid w:val="00A1730F"/>
    <w:rsid w:val="00A25ADE"/>
    <w:rsid w:val="00A30994"/>
    <w:rsid w:val="00A36426"/>
    <w:rsid w:val="00A43A51"/>
    <w:rsid w:val="00A53B54"/>
    <w:rsid w:val="00A639BE"/>
    <w:rsid w:val="00A63FF1"/>
    <w:rsid w:val="00A6659C"/>
    <w:rsid w:val="00A70F2F"/>
    <w:rsid w:val="00A80DF7"/>
    <w:rsid w:val="00A91111"/>
    <w:rsid w:val="00A9540B"/>
    <w:rsid w:val="00AA606A"/>
    <w:rsid w:val="00AB04AC"/>
    <w:rsid w:val="00AB0DFC"/>
    <w:rsid w:val="00AB5DF7"/>
    <w:rsid w:val="00AC505B"/>
    <w:rsid w:val="00AC647F"/>
    <w:rsid w:val="00AD21AE"/>
    <w:rsid w:val="00AD44CD"/>
    <w:rsid w:val="00AD67EB"/>
    <w:rsid w:val="00AE0CB3"/>
    <w:rsid w:val="00AE2DD7"/>
    <w:rsid w:val="00B0231F"/>
    <w:rsid w:val="00B044FD"/>
    <w:rsid w:val="00B13721"/>
    <w:rsid w:val="00B15F07"/>
    <w:rsid w:val="00B20675"/>
    <w:rsid w:val="00B21AEB"/>
    <w:rsid w:val="00B2627E"/>
    <w:rsid w:val="00B268B2"/>
    <w:rsid w:val="00B273C1"/>
    <w:rsid w:val="00B32B2F"/>
    <w:rsid w:val="00B57414"/>
    <w:rsid w:val="00B77071"/>
    <w:rsid w:val="00B807F6"/>
    <w:rsid w:val="00B97063"/>
    <w:rsid w:val="00B9741B"/>
    <w:rsid w:val="00BA7C09"/>
    <w:rsid w:val="00BA7E9F"/>
    <w:rsid w:val="00BB1AFB"/>
    <w:rsid w:val="00BB7C15"/>
    <w:rsid w:val="00BD2574"/>
    <w:rsid w:val="00BD3020"/>
    <w:rsid w:val="00BD344F"/>
    <w:rsid w:val="00BD3E50"/>
    <w:rsid w:val="00BE0ED0"/>
    <w:rsid w:val="00BE2D46"/>
    <w:rsid w:val="00BE440B"/>
    <w:rsid w:val="00BE46AD"/>
    <w:rsid w:val="00BE4FD7"/>
    <w:rsid w:val="00BE6953"/>
    <w:rsid w:val="00BF3839"/>
    <w:rsid w:val="00BF6459"/>
    <w:rsid w:val="00C00D10"/>
    <w:rsid w:val="00C01A21"/>
    <w:rsid w:val="00C1071A"/>
    <w:rsid w:val="00C13DAC"/>
    <w:rsid w:val="00C15FD8"/>
    <w:rsid w:val="00C16474"/>
    <w:rsid w:val="00C22534"/>
    <w:rsid w:val="00C22E8E"/>
    <w:rsid w:val="00C34E41"/>
    <w:rsid w:val="00C43B78"/>
    <w:rsid w:val="00C45A02"/>
    <w:rsid w:val="00C569A4"/>
    <w:rsid w:val="00C625F1"/>
    <w:rsid w:val="00C63DB0"/>
    <w:rsid w:val="00C73D1A"/>
    <w:rsid w:val="00C7648A"/>
    <w:rsid w:val="00C8078A"/>
    <w:rsid w:val="00C80CB3"/>
    <w:rsid w:val="00C936D7"/>
    <w:rsid w:val="00CA0990"/>
    <w:rsid w:val="00CA2056"/>
    <w:rsid w:val="00CA3E07"/>
    <w:rsid w:val="00CB3ACF"/>
    <w:rsid w:val="00CC7D86"/>
    <w:rsid w:val="00CE2509"/>
    <w:rsid w:val="00CE37CD"/>
    <w:rsid w:val="00CE44FF"/>
    <w:rsid w:val="00CE4C76"/>
    <w:rsid w:val="00CF512A"/>
    <w:rsid w:val="00CF69AE"/>
    <w:rsid w:val="00D04150"/>
    <w:rsid w:val="00D04A4E"/>
    <w:rsid w:val="00D05D06"/>
    <w:rsid w:val="00D062BB"/>
    <w:rsid w:val="00D105B9"/>
    <w:rsid w:val="00D14851"/>
    <w:rsid w:val="00D208A4"/>
    <w:rsid w:val="00D26E74"/>
    <w:rsid w:val="00D32DF9"/>
    <w:rsid w:val="00D336D3"/>
    <w:rsid w:val="00D4591A"/>
    <w:rsid w:val="00D47089"/>
    <w:rsid w:val="00D53DDF"/>
    <w:rsid w:val="00D5492D"/>
    <w:rsid w:val="00D62312"/>
    <w:rsid w:val="00D63A64"/>
    <w:rsid w:val="00D6523F"/>
    <w:rsid w:val="00D671F2"/>
    <w:rsid w:val="00D72D50"/>
    <w:rsid w:val="00D76EAC"/>
    <w:rsid w:val="00DA0449"/>
    <w:rsid w:val="00DA43D2"/>
    <w:rsid w:val="00DA4985"/>
    <w:rsid w:val="00DB09D8"/>
    <w:rsid w:val="00DB55D6"/>
    <w:rsid w:val="00DC183C"/>
    <w:rsid w:val="00DC7B35"/>
    <w:rsid w:val="00DD750C"/>
    <w:rsid w:val="00DE2BD9"/>
    <w:rsid w:val="00DF06AD"/>
    <w:rsid w:val="00E03FF3"/>
    <w:rsid w:val="00E07846"/>
    <w:rsid w:val="00E13F99"/>
    <w:rsid w:val="00E149B4"/>
    <w:rsid w:val="00E23319"/>
    <w:rsid w:val="00E30864"/>
    <w:rsid w:val="00E358AB"/>
    <w:rsid w:val="00E434BB"/>
    <w:rsid w:val="00E448E5"/>
    <w:rsid w:val="00E4604E"/>
    <w:rsid w:val="00E55FD1"/>
    <w:rsid w:val="00E62371"/>
    <w:rsid w:val="00E72D2E"/>
    <w:rsid w:val="00E7442E"/>
    <w:rsid w:val="00E74547"/>
    <w:rsid w:val="00E75D1F"/>
    <w:rsid w:val="00E76172"/>
    <w:rsid w:val="00E81291"/>
    <w:rsid w:val="00E91E96"/>
    <w:rsid w:val="00E92643"/>
    <w:rsid w:val="00EA256F"/>
    <w:rsid w:val="00EB193A"/>
    <w:rsid w:val="00EB5A32"/>
    <w:rsid w:val="00EC3521"/>
    <w:rsid w:val="00EC43EF"/>
    <w:rsid w:val="00ED27A8"/>
    <w:rsid w:val="00EF283F"/>
    <w:rsid w:val="00F02CEC"/>
    <w:rsid w:val="00F13A2D"/>
    <w:rsid w:val="00F161BD"/>
    <w:rsid w:val="00F203DA"/>
    <w:rsid w:val="00F24D6C"/>
    <w:rsid w:val="00F42A67"/>
    <w:rsid w:val="00F4685C"/>
    <w:rsid w:val="00F5299F"/>
    <w:rsid w:val="00F546BD"/>
    <w:rsid w:val="00F54DBE"/>
    <w:rsid w:val="00F55112"/>
    <w:rsid w:val="00F579CC"/>
    <w:rsid w:val="00F62491"/>
    <w:rsid w:val="00F6320F"/>
    <w:rsid w:val="00F63510"/>
    <w:rsid w:val="00F640A5"/>
    <w:rsid w:val="00F652BB"/>
    <w:rsid w:val="00F72DA0"/>
    <w:rsid w:val="00F82A8F"/>
    <w:rsid w:val="00F83F8A"/>
    <w:rsid w:val="00F87244"/>
    <w:rsid w:val="00F9159E"/>
    <w:rsid w:val="00F93F3B"/>
    <w:rsid w:val="00FA3307"/>
    <w:rsid w:val="00FB2766"/>
    <w:rsid w:val="00FB3A6B"/>
    <w:rsid w:val="00FC7CD9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380AC879"/>
  <w15:docId w15:val="{BC678A77-A909-4DF5-9A01-6D4C82C7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B11D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C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B11D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Л. Домбровский</dc:creator>
  <cp:lastModifiedBy>Марина М. Иванова</cp:lastModifiedBy>
  <cp:revision>19</cp:revision>
  <dcterms:created xsi:type="dcterms:W3CDTF">2019-03-11T04:30:00Z</dcterms:created>
  <dcterms:modified xsi:type="dcterms:W3CDTF">2019-03-27T11:33:00Z</dcterms:modified>
</cp:coreProperties>
</file>